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MENINGKATKAN KEMANDIRIAN KEUANGAN DAERAH MELALUI</w:t>
      </w:r>
      <w:r>
        <w:rPr>
          <w:spacing w:val="-7"/>
        </w:rPr>
        <w:t> </w:t>
      </w:r>
      <w:r>
        <w:rPr/>
        <w:t>PENDAPATAN</w:t>
      </w:r>
      <w:r>
        <w:rPr>
          <w:spacing w:val="-11"/>
        </w:rPr>
        <w:t> </w:t>
      </w:r>
      <w:r>
        <w:rPr/>
        <w:t>ASLI</w:t>
      </w:r>
      <w:r>
        <w:rPr>
          <w:spacing w:val="-7"/>
        </w:rPr>
        <w:t> </w:t>
      </w:r>
      <w:r>
        <w:rPr/>
        <w:t>DAERAH</w:t>
      </w:r>
      <w:r>
        <w:rPr>
          <w:spacing w:val="-10"/>
        </w:rPr>
        <w:t> </w:t>
      </w:r>
      <w:r>
        <w:rPr/>
        <w:t>DAN</w:t>
      </w:r>
      <w:r>
        <w:rPr>
          <w:spacing w:val="-4"/>
        </w:rPr>
        <w:t> </w:t>
      </w:r>
      <w:r>
        <w:rPr/>
        <w:t>BELANJA</w:t>
      </w:r>
      <w:r>
        <w:rPr>
          <w:spacing w:val="-7"/>
        </w:rPr>
        <w:t> </w:t>
      </w:r>
      <w:r>
        <w:rPr/>
        <w:t>MODAL PADA KAB/KOTA DI PROVINSI JAWA BARAT</w:t>
      </w:r>
    </w:p>
    <w:p>
      <w:pPr>
        <w:spacing w:line="293" w:lineRule="exact" w:before="300"/>
        <w:ind w:left="121" w:right="118" w:firstLine="0"/>
        <w:jc w:val="center"/>
        <w:rPr>
          <w:sz w:val="24"/>
        </w:rPr>
      </w:pPr>
      <w:r>
        <w:rPr>
          <w:sz w:val="24"/>
        </w:rPr>
        <w:t>Hani</w:t>
      </w:r>
      <w:r>
        <w:rPr>
          <w:spacing w:val="-7"/>
          <w:sz w:val="24"/>
        </w:rPr>
        <w:t> </w:t>
      </w:r>
      <w:r>
        <w:rPr>
          <w:sz w:val="24"/>
        </w:rPr>
        <w:t>Sri</w:t>
      </w:r>
      <w:r>
        <w:rPr>
          <w:spacing w:val="-7"/>
          <w:sz w:val="24"/>
        </w:rPr>
        <w:t> </w:t>
      </w:r>
      <w:r>
        <w:rPr>
          <w:sz w:val="24"/>
        </w:rPr>
        <w:t>Mulyani</w:t>
      </w:r>
      <w:r>
        <w:rPr>
          <w:sz w:val="24"/>
          <w:vertAlign w:val="superscript"/>
        </w:rPr>
        <w:t>1*</w:t>
      </w:r>
      <w:r>
        <w:rPr>
          <w:sz w:val="24"/>
          <w:vertAlign w:val="baseline"/>
        </w:rPr>
        <w:t>,</w:t>
      </w:r>
      <w:r>
        <w:rPr>
          <w:spacing w:val="-2"/>
          <w:sz w:val="24"/>
          <w:vertAlign w:val="baseline"/>
        </w:rPr>
        <w:t> </w:t>
      </w:r>
      <w:r>
        <w:rPr>
          <w:sz w:val="24"/>
          <w:vertAlign w:val="baseline"/>
        </w:rPr>
        <w:t>Endah</w:t>
      </w:r>
      <w:r>
        <w:rPr>
          <w:spacing w:val="-5"/>
          <w:sz w:val="24"/>
          <w:vertAlign w:val="baseline"/>
        </w:rPr>
        <w:t> </w:t>
      </w:r>
      <w:r>
        <w:rPr>
          <w:sz w:val="24"/>
          <w:vertAlign w:val="baseline"/>
        </w:rPr>
        <w:t>Prihartini</w:t>
      </w:r>
      <w:r>
        <w:rPr>
          <w:sz w:val="24"/>
          <w:vertAlign w:val="superscript"/>
        </w:rPr>
        <w:t>2</w:t>
      </w:r>
      <w:r>
        <w:rPr>
          <w:sz w:val="24"/>
          <w:vertAlign w:val="baseline"/>
        </w:rPr>
        <w:t>,</w:t>
      </w:r>
      <w:r>
        <w:rPr>
          <w:spacing w:val="-7"/>
          <w:sz w:val="24"/>
          <w:vertAlign w:val="baseline"/>
        </w:rPr>
        <w:t> </w:t>
      </w:r>
      <w:r>
        <w:rPr>
          <w:sz w:val="24"/>
          <w:vertAlign w:val="baseline"/>
        </w:rPr>
        <w:t>Dadang</w:t>
      </w:r>
      <w:r>
        <w:rPr>
          <w:spacing w:val="-3"/>
          <w:sz w:val="24"/>
          <w:vertAlign w:val="baseline"/>
        </w:rPr>
        <w:t> </w:t>
      </w:r>
      <w:r>
        <w:rPr>
          <w:sz w:val="24"/>
          <w:vertAlign w:val="baseline"/>
        </w:rPr>
        <w:t>Sudirno</w:t>
      </w:r>
      <w:r>
        <w:rPr>
          <w:sz w:val="24"/>
          <w:vertAlign w:val="superscript"/>
        </w:rPr>
        <w:t>3</w:t>
      </w:r>
      <w:r>
        <w:rPr>
          <w:spacing w:val="1"/>
          <w:sz w:val="24"/>
          <w:vertAlign w:val="baseline"/>
        </w:rPr>
        <w:t> </w:t>
      </w:r>
      <w:r>
        <w:rPr>
          <w:sz w:val="24"/>
          <w:vertAlign w:val="baseline"/>
        </w:rPr>
        <w:t>,</w:t>
      </w:r>
      <w:r>
        <w:rPr>
          <w:spacing w:val="-6"/>
          <w:sz w:val="24"/>
          <w:vertAlign w:val="baseline"/>
        </w:rPr>
        <w:t> </w:t>
      </w:r>
      <w:r>
        <w:rPr>
          <w:sz w:val="24"/>
          <w:vertAlign w:val="baseline"/>
        </w:rPr>
        <w:t>Ikhlasul</w:t>
      </w:r>
      <w:r>
        <w:rPr>
          <w:spacing w:val="-3"/>
          <w:sz w:val="24"/>
          <w:vertAlign w:val="baseline"/>
        </w:rPr>
        <w:t> </w:t>
      </w:r>
      <w:r>
        <w:rPr>
          <w:spacing w:val="-2"/>
          <w:sz w:val="24"/>
          <w:vertAlign w:val="baseline"/>
        </w:rPr>
        <w:t>Amal</w:t>
      </w:r>
      <w:r>
        <w:rPr>
          <w:spacing w:val="-2"/>
          <w:sz w:val="24"/>
          <w:vertAlign w:val="superscript"/>
        </w:rPr>
        <w:t>4</w:t>
      </w:r>
    </w:p>
    <w:p>
      <w:pPr>
        <w:spacing w:line="244" w:lineRule="exact" w:before="0"/>
        <w:ind w:left="127" w:right="118" w:firstLine="0"/>
        <w:jc w:val="center"/>
        <w:rPr>
          <w:sz w:val="20"/>
        </w:rPr>
      </w:pPr>
      <w:r>
        <w:rPr>
          <w:sz w:val="20"/>
          <w:vertAlign w:val="superscript"/>
        </w:rPr>
        <w:t>1,4</w:t>
      </w:r>
      <w:r>
        <w:rPr>
          <w:sz w:val="20"/>
          <w:vertAlign w:val="baseline"/>
        </w:rPr>
        <w:t>Prodi</w:t>
      </w:r>
      <w:r>
        <w:rPr>
          <w:spacing w:val="-9"/>
          <w:sz w:val="20"/>
          <w:vertAlign w:val="baseline"/>
        </w:rPr>
        <w:t> </w:t>
      </w:r>
      <w:r>
        <w:rPr>
          <w:sz w:val="20"/>
          <w:vertAlign w:val="baseline"/>
        </w:rPr>
        <w:t>Akuntansi,</w:t>
      </w:r>
      <w:r>
        <w:rPr>
          <w:spacing w:val="-12"/>
          <w:sz w:val="20"/>
          <w:vertAlign w:val="baseline"/>
        </w:rPr>
        <w:t> </w:t>
      </w:r>
      <w:r>
        <w:rPr>
          <w:sz w:val="20"/>
          <w:vertAlign w:val="baseline"/>
        </w:rPr>
        <w:t>Fakultas</w:t>
      </w:r>
      <w:r>
        <w:rPr>
          <w:spacing w:val="-11"/>
          <w:sz w:val="20"/>
          <w:vertAlign w:val="baseline"/>
        </w:rPr>
        <w:t> </w:t>
      </w:r>
      <w:r>
        <w:rPr>
          <w:sz w:val="20"/>
          <w:vertAlign w:val="baseline"/>
        </w:rPr>
        <w:t>Ekonomika</w:t>
      </w:r>
      <w:r>
        <w:rPr>
          <w:spacing w:val="-6"/>
          <w:sz w:val="20"/>
          <w:vertAlign w:val="baseline"/>
        </w:rPr>
        <w:t> </w:t>
      </w:r>
      <w:r>
        <w:rPr>
          <w:sz w:val="20"/>
          <w:vertAlign w:val="baseline"/>
        </w:rPr>
        <w:t>dan</w:t>
      </w:r>
      <w:r>
        <w:rPr>
          <w:spacing w:val="-6"/>
          <w:sz w:val="20"/>
          <w:vertAlign w:val="baseline"/>
        </w:rPr>
        <w:t> </w:t>
      </w:r>
      <w:r>
        <w:rPr>
          <w:sz w:val="20"/>
          <w:vertAlign w:val="baseline"/>
        </w:rPr>
        <w:t>Bisnis,</w:t>
      </w:r>
      <w:r>
        <w:rPr>
          <w:spacing w:val="-7"/>
          <w:sz w:val="20"/>
          <w:vertAlign w:val="baseline"/>
        </w:rPr>
        <w:t> </w:t>
      </w:r>
      <w:r>
        <w:rPr>
          <w:sz w:val="20"/>
          <w:vertAlign w:val="baseline"/>
        </w:rPr>
        <w:t>Universitas</w:t>
      </w:r>
      <w:r>
        <w:rPr>
          <w:spacing w:val="-9"/>
          <w:sz w:val="20"/>
          <w:vertAlign w:val="baseline"/>
        </w:rPr>
        <w:t> </w:t>
      </w:r>
      <w:r>
        <w:rPr>
          <w:sz w:val="20"/>
          <w:vertAlign w:val="baseline"/>
        </w:rPr>
        <w:t>Majalengka,</w:t>
      </w:r>
      <w:r>
        <w:rPr>
          <w:spacing w:val="-11"/>
          <w:sz w:val="20"/>
          <w:vertAlign w:val="baseline"/>
        </w:rPr>
        <w:t> </w:t>
      </w:r>
      <w:r>
        <w:rPr>
          <w:sz w:val="20"/>
          <w:vertAlign w:val="baseline"/>
        </w:rPr>
        <w:t>Majalengka,</w:t>
      </w:r>
      <w:r>
        <w:rPr>
          <w:spacing w:val="-11"/>
          <w:sz w:val="20"/>
          <w:vertAlign w:val="baseline"/>
        </w:rPr>
        <w:t> </w:t>
      </w:r>
      <w:r>
        <w:rPr>
          <w:spacing w:val="-2"/>
          <w:sz w:val="20"/>
          <w:vertAlign w:val="baseline"/>
        </w:rPr>
        <w:t>Indonesia</w:t>
      </w:r>
    </w:p>
    <w:p>
      <w:pPr>
        <w:spacing w:line="243" w:lineRule="exact" w:before="1"/>
        <w:ind w:left="121" w:right="118" w:firstLine="0"/>
        <w:jc w:val="center"/>
        <w:rPr>
          <w:sz w:val="20"/>
        </w:rPr>
      </w:pPr>
      <w:r>
        <w:rPr>
          <w:sz w:val="20"/>
          <w:vertAlign w:val="superscript"/>
        </w:rPr>
        <w:t>2,3</w:t>
      </w:r>
      <w:r>
        <w:rPr>
          <w:sz w:val="20"/>
          <w:vertAlign w:val="baseline"/>
        </w:rPr>
        <w:t>Prodi</w:t>
      </w:r>
      <w:r>
        <w:rPr>
          <w:spacing w:val="-10"/>
          <w:sz w:val="20"/>
          <w:vertAlign w:val="baseline"/>
        </w:rPr>
        <w:t> </w:t>
      </w:r>
      <w:r>
        <w:rPr>
          <w:sz w:val="20"/>
          <w:vertAlign w:val="baseline"/>
        </w:rPr>
        <w:t>Manajemen,</w:t>
      </w:r>
      <w:r>
        <w:rPr>
          <w:spacing w:val="-9"/>
          <w:sz w:val="20"/>
          <w:vertAlign w:val="baseline"/>
        </w:rPr>
        <w:t> </w:t>
      </w:r>
      <w:r>
        <w:rPr>
          <w:sz w:val="20"/>
          <w:vertAlign w:val="baseline"/>
        </w:rPr>
        <w:t>Fakultas</w:t>
      </w:r>
      <w:r>
        <w:rPr>
          <w:spacing w:val="-11"/>
          <w:sz w:val="20"/>
          <w:vertAlign w:val="baseline"/>
        </w:rPr>
        <w:t> </w:t>
      </w:r>
      <w:r>
        <w:rPr>
          <w:sz w:val="20"/>
          <w:vertAlign w:val="baseline"/>
        </w:rPr>
        <w:t>Ekonomika</w:t>
      </w:r>
      <w:r>
        <w:rPr>
          <w:spacing w:val="-11"/>
          <w:sz w:val="20"/>
          <w:vertAlign w:val="baseline"/>
        </w:rPr>
        <w:t> </w:t>
      </w:r>
      <w:r>
        <w:rPr>
          <w:sz w:val="20"/>
          <w:vertAlign w:val="baseline"/>
        </w:rPr>
        <w:t>dan</w:t>
      </w:r>
      <w:r>
        <w:rPr>
          <w:spacing w:val="-11"/>
          <w:sz w:val="20"/>
          <w:vertAlign w:val="baseline"/>
        </w:rPr>
        <w:t> </w:t>
      </w:r>
      <w:r>
        <w:rPr>
          <w:sz w:val="20"/>
          <w:vertAlign w:val="baseline"/>
        </w:rPr>
        <w:t>Bisnis,</w:t>
      </w:r>
      <w:r>
        <w:rPr>
          <w:spacing w:val="-8"/>
          <w:sz w:val="20"/>
          <w:vertAlign w:val="baseline"/>
        </w:rPr>
        <w:t> </w:t>
      </w:r>
      <w:r>
        <w:rPr>
          <w:sz w:val="20"/>
          <w:vertAlign w:val="baseline"/>
        </w:rPr>
        <w:t>Universitas</w:t>
      </w:r>
      <w:r>
        <w:rPr>
          <w:spacing w:val="-8"/>
          <w:sz w:val="20"/>
          <w:vertAlign w:val="baseline"/>
        </w:rPr>
        <w:t> </w:t>
      </w:r>
      <w:r>
        <w:rPr>
          <w:sz w:val="20"/>
          <w:vertAlign w:val="baseline"/>
        </w:rPr>
        <w:t>Majalengka,</w:t>
      </w:r>
      <w:r>
        <w:rPr>
          <w:spacing w:val="-8"/>
          <w:sz w:val="20"/>
          <w:vertAlign w:val="baseline"/>
        </w:rPr>
        <w:t> </w:t>
      </w:r>
      <w:r>
        <w:rPr>
          <w:sz w:val="20"/>
          <w:vertAlign w:val="baseline"/>
        </w:rPr>
        <w:t>Majalengka,</w:t>
      </w:r>
      <w:r>
        <w:rPr>
          <w:spacing w:val="-8"/>
          <w:sz w:val="20"/>
          <w:vertAlign w:val="baseline"/>
        </w:rPr>
        <w:t> </w:t>
      </w:r>
      <w:r>
        <w:rPr>
          <w:spacing w:val="-2"/>
          <w:sz w:val="20"/>
          <w:vertAlign w:val="baseline"/>
        </w:rPr>
        <w:t>Indonesia</w:t>
      </w:r>
    </w:p>
    <w:p>
      <w:pPr>
        <w:spacing w:line="285" w:lineRule="exact" w:before="0"/>
        <w:ind w:left="120" w:right="118" w:firstLine="0"/>
        <w:jc w:val="center"/>
        <w:rPr>
          <w:sz w:val="20"/>
        </w:rPr>
      </w:pPr>
      <w:r>
        <w:rPr>
          <w:position w:val="8"/>
          <w:sz w:val="16"/>
        </w:rPr>
        <w:t>*</w:t>
      </w:r>
      <w:r>
        <w:rPr>
          <w:i/>
          <w:sz w:val="20"/>
        </w:rPr>
        <w:t>E</w:t>
      </w:r>
      <w:r>
        <w:rPr>
          <w:sz w:val="20"/>
        </w:rPr>
        <w:t>-</w:t>
      </w:r>
      <w:r>
        <w:rPr>
          <w:i/>
          <w:sz w:val="20"/>
        </w:rPr>
        <w:t>mail</w:t>
      </w:r>
      <w:r>
        <w:rPr>
          <w:sz w:val="20"/>
        </w:rPr>
        <w:t>:</w:t>
      </w:r>
      <w:r>
        <w:rPr>
          <w:spacing w:val="-5"/>
          <w:sz w:val="20"/>
        </w:rPr>
        <w:t> </w:t>
      </w:r>
      <w:hyperlink r:id="rId7">
        <w:r>
          <w:rPr>
            <w:color w:val="0000FF"/>
            <w:spacing w:val="-2"/>
            <w:sz w:val="20"/>
            <w:u w:val="single" w:color="0000FF"/>
          </w:rPr>
          <w:t>hanisrimulyani@unma.ac.id</w:t>
        </w:r>
      </w:hyperlink>
    </w:p>
    <w:p>
      <w:pPr>
        <w:pStyle w:val="BodyText"/>
        <w:rPr>
          <w:sz w:val="20"/>
        </w:rPr>
      </w:pPr>
    </w:p>
    <w:p>
      <w:pPr>
        <w:pStyle w:val="BodyText"/>
        <w:spacing w:before="10"/>
        <w:rPr>
          <w:sz w:val="20"/>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4"/>
        <w:gridCol w:w="2828"/>
        <w:gridCol w:w="2838"/>
      </w:tblGrid>
      <w:tr>
        <w:trPr>
          <w:trHeight w:val="244" w:hRule="atLeast"/>
        </w:trPr>
        <w:tc>
          <w:tcPr>
            <w:tcW w:w="2834" w:type="dxa"/>
          </w:tcPr>
          <w:p>
            <w:pPr>
              <w:pStyle w:val="TableParagraph"/>
              <w:spacing w:line="223" w:lineRule="exact" w:before="1"/>
              <w:ind w:left="110"/>
              <w:rPr>
                <w:sz w:val="20"/>
              </w:rPr>
            </w:pPr>
            <w:r>
              <w:rPr>
                <w:sz w:val="20"/>
              </w:rPr>
              <w:t>Submit:</w:t>
            </w:r>
            <w:r>
              <w:rPr>
                <w:spacing w:val="-6"/>
                <w:sz w:val="20"/>
              </w:rPr>
              <w:t> </w:t>
            </w:r>
            <w:r>
              <w:rPr>
                <w:sz w:val="20"/>
              </w:rPr>
              <w:t>25</w:t>
            </w:r>
            <w:r>
              <w:rPr>
                <w:spacing w:val="-1"/>
                <w:sz w:val="20"/>
              </w:rPr>
              <w:t> </w:t>
            </w:r>
            <w:r>
              <w:rPr>
                <w:sz w:val="20"/>
              </w:rPr>
              <w:t>Mei</w:t>
            </w:r>
            <w:r>
              <w:rPr>
                <w:spacing w:val="-3"/>
                <w:sz w:val="20"/>
              </w:rPr>
              <w:t> </w:t>
            </w:r>
            <w:r>
              <w:rPr>
                <w:spacing w:val="-4"/>
                <w:sz w:val="20"/>
              </w:rPr>
              <w:t>2024</w:t>
            </w:r>
          </w:p>
        </w:tc>
        <w:tc>
          <w:tcPr>
            <w:tcW w:w="2828" w:type="dxa"/>
          </w:tcPr>
          <w:p>
            <w:pPr>
              <w:pStyle w:val="TableParagraph"/>
              <w:spacing w:line="223" w:lineRule="exact" w:before="1"/>
              <w:ind w:left="109"/>
              <w:rPr>
                <w:sz w:val="20"/>
              </w:rPr>
            </w:pPr>
            <w:r>
              <w:rPr>
                <w:sz w:val="20"/>
              </w:rPr>
              <w:t>Revisi</w:t>
            </w:r>
            <w:r>
              <w:rPr>
                <w:spacing w:val="-2"/>
                <w:sz w:val="20"/>
              </w:rPr>
              <w:t> </w:t>
            </w:r>
            <w:r>
              <w:rPr>
                <w:sz w:val="20"/>
              </w:rPr>
              <w:t>: 7</w:t>
            </w:r>
            <w:r>
              <w:rPr>
                <w:spacing w:val="-4"/>
                <w:sz w:val="20"/>
              </w:rPr>
              <w:t> </w:t>
            </w:r>
            <w:r>
              <w:rPr>
                <w:sz w:val="20"/>
              </w:rPr>
              <w:t>Juni</w:t>
            </w:r>
            <w:r>
              <w:rPr>
                <w:spacing w:val="-2"/>
                <w:sz w:val="20"/>
              </w:rPr>
              <w:t> </w:t>
            </w:r>
            <w:r>
              <w:rPr>
                <w:spacing w:val="-4"/>
                <w:sz w:val="20"/>
              </w:rPr>
              <w:t>2024</w:t>
            </w:r>
          </w:p>
        </w:tc>
        <w:tc>
          <w:tcPr>
            <w:tcW w:w="2838" w:type="dxa"/>
          </w:tcPr>
          <w:p>
            <w:pPr>
              <w:pStyle w:val="TableParagraph"/>
              <w:spacing w:line="223" w:lineRule="exact" w:before="1"/>
              <w:ind w:left="104"/>
              <w:rPr>
                <w:sz w:val="20"/>
              </w:rPr>
            </w:pPr>
            <w:r>
              <w:rPr>
                <w:sz w:val="20"/>
              </w:rPr>
              <w:t>Disetujui:</w:t>
            </w:r>
            <w:r>
              <w:rPr>
                <w:spacing w:val="77"/>
                <w:sz w:val="20"/>
              </w:rPr>
              <w:t> </w:t>
            </w:r>
            <w:r>
              <w:rPr>
                <w:sz w:val="20"/>
              </w:rPr>
              <w:t>14</w:t>
            </w:r>
            <w:r>
              <w:rPr>
                <w:spacing w:val="-3"/>
                <w:sz w:val="20"/>
              </w:rPr>
              <w:t> </w:t>
            </w:r>
            <w:r>
              <w:rPr>
                <w:sz w:val="20"/>
              </w:rPr>
              <w:t>Juni </w:t>
            </w:r>
            <w:r>
              <w:rPr>
                <w:spacing w:val="-4"/>
                <w:sz w:val="20"/>
              </w:rPr>
              <w:t>2024</w:t>
            </w:r>
          </w:p>
        </w:tc>
      </w:tr>
    </w:tbl>
    <w:p>
      <w:pPr>
        <w:pStyle w:val="BodyText"/>
        <w:spacing w:before="240"/>
        <w:rPr>
          <w:sz w:val="20"/>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23"/>
      </w:tblGrid>
      <w:tr>
        <w:trPr>
          <w:trHeight w:val="2842" w:hRule="atLeast"/>
        </w:trPr>
        <w:tc>
          <w:tcPr>
            <w:tcW w:w="8523" w:type="dxa"/>
            <w:tcBorders>
              <w:top w:val="single" w:sz="4" w:space="0" w:color="000000"/>
              <w:bottom w:val="single" w:sz="4" w:space="0" w:color="000000"/>
            </w:tcBorders>
          </w:tcPr>
          <w:p>
            <w:pPr>
              <w:pStyle w:val="TableParagraph"/>
              <w:spacing w:before="1"/>
              <w:ind w:left="11" w:right="3"/>
              <w:jc w:val="center"/>
              <w:rPr>
                <w:sz w:val="20"/>
              </w:rPr>
            </w:pPr>
            <w:r>
              <w:rPr>
                <w:spacing w:val="-2"/>
                <w:sz w:val="20"/>
              </w:rPr>
              <w:t>ABSTRAK</w:t>
            </w:r>
          </w:p>
          <w:p>
            <w:pPr>
              <w:pStyle w:val="TableParagraph"/>
              <w:spacing w:before="203"/>
              <w:ind w:left="124" w:right="105"/>
              <w:jc w:val="both"/>
              <w:rPr>
                <w:sz w:val="20"/>
              </w:rPr>
            </w:pPr>
            <w:r>
              <w:rPr>
                <w:sz w:val="20"/>
              </w:rPr>
              <w:t>Kemandirian keuangan daerah adalah kemampuan daerah dalam membiayai pembangunan, pelayanan</w:t>
            </w:r>
            <w:r>
              <w:rPr>
                <w:spacing w:val="-12"/>
                <w:sz w:val="20"/>
              </w:rPr>
              <w:t> </w:t>
            </w:r>
            <w:r>
              <w:rPr>
                <w:sz w:val="20"/>
              </w:rPr>
              <w:t>publik</w:t>
            </w:r>
            <w:r>
              <w:rPr>
                <w:spacing w:val="-11"/>
                <w:sz w:val="20"/>
              </w:rPr>
              <w:t> </w:t>
            </w:r>
            <w:r>
              <w:rPr>
                <w:sz w:val="20"/>
              </w:rPr>
              <w:t>dan</w:t>
            </w:r>
            <w:r>
              <w:rPr>
                <w:spacing w:val="-11"/>
                <w:sz w:val="20"/>
              </w:rPr>
              <w:t> </w:t>
            </w:r>
            <w:r>
              <w:rPr>
                <w:sz w:val="20"/>
              </w:rPr>
              <w:t>urusan</w:t>
            </w:r>
            <w:r>
              <w:rPr>
                <w:spacing w:val="-12"/>
                <w:sz w:val="20"/>
              </w:rPr>
              <w:t> </w:t>
            </w:r>
            <w:r>
              <w:rPr>
                <w:sz w:val="20"/>
              </w:rPr>
              <w:t>pemerintahan</w:t>
            </w:r>
            <w:r>
              <w:rPr>
                <w:spacing w:val="-11"/>
                <w:sz w:val="20"/>
              </w:rPr>
              <w:t> </w:t>
            </w:r>
            <w:r>
              <w:rPr>
                <w:sz w:val="20"/>
              </w:rPr>
              <w:t>secara</w:t>
            </w:r>
            <w:r>
              <w:rPr>
                <w:spacing w:val="-11"/>
                <w:sz w:val="20"/>
              </w:rPr>
              <w:t> </w:t>
            </w:r>
            <w:r>
              <w:rPr>
                <w:sz w:val="20"/>
              </w:rPr>
              <w:t>mandiri.</w:t>
            </w:r>
            <w:r>
              <w:rPr>
                <w:spacing w:val="-12"/>
                <w:sz w:val="20"/>
              </w:rPr>
              <w:t> </w:t>
            </w:r>
            <w:r>
              <w:rPr>
                <w:sz w:val="20"/>
              </w:rPr>
              <w:t>Penelitian</w:t>
            </w:r>
            <w:r>
              <w:rPr>
                <w:spacing w:val="-11"/>
                <w:sz w:val="20"/>
              </w:rPr>
              <w:t> </w:t>
            </w:r>
            <w:r>
              <w:rPr>
                <w:sz w:val="20"/>
              </w:rPr>
              <w:t>ini</w:t>
            </w:r>
            <w:r>
              <w:rPr>
                <w:spacing w:val="-11"/>
                <w:sz w:val="20"/>
              </w:rPr>
              <w:t> </w:t>
            </w:r>
            <w:r>
              <w:rPr>
                <w:sz w:val="20"/>
              </w:rPr>
              <w:t>bertujuan</w:t>
            </w:r>
            <w:r>
              <w:rPr>
                <w:spacing w:val="-12"/>
                <w:sz w:val="20"/>
              </w:rPr>
              <w:t> </w:t>
            </w:r>
            <w:r>
              <w:rPr>
                <w:sz w:val="20"/>
              </w:rPr>
              <w:t>untuk</w:t>
            </w:r>
            <w:r>
              <w:rPr>
                <w:spacing w:val="-11"/>
                <w:sz w:val="20"/>
              </w:rPr>
              <w:t> </w:t>
            </w:r>
            <w:r>
              <w:rPr>
                <w:sz w:val="20"/>
              </w:rPr>
              <w:t>menganalisis pengaruh</w:t>
            </w:r>
            <w:r>
              <w:rPr>
                <w:spacing w:val="-12"/>
                <w:sz w:val="20"/>
              </w:rPr>
              <w:t> </w:t>
            </w:r>
            <w:r>
              <w:rPr>
                <w:sz w:val="20"/>
              </w:rPr>
              <w:t>pendapatan</w:t>
            </w:r>
            <w:r>
              <w:rPr>
                <w:spacing w:val="-11"/>
                <w:sz w:val="20"/>
              </w:rPr>
              <w:t> </w:t>
            </w:r>
            <w:r>
              <w:rPr>
                <w:sz w:val="20"/>
              </w:rPr>
              <w:t>asli</w:t>
            </w:r>
            <w:r>
              <w:rPr>
                <w:spacing w:val="-11"/>
                <w:sz w:val="20"/>
              </w:rPr>
              <w:t> </w:t>
            </w:r>
            <w:r>
              <w:rPr>
                <w:sz w:val="20"/>
              </w:rPr>
              <w:t>daerah</w:t>
            </w:r>
            <w:r>
              <w:rPr>
                <w:spacing w:val="-11"/>
                <w:sz w:val="20"/>
              </w:rPr>
              <w:t> </w:t>
            </w:r>
            <w:r>
              <w:rPr>
                <w:sz w:val="20"/>
              </w:rPr>
              <w:t>dan</w:t>
            </w:r>
            <w:r>
              <w:rPr>
                <w:spacing w:val="-9"/>
                <w:sz w:val="20"/>
              </w:rPr>
              <w:t> </w:t>
            </w:r>
            <w:r>
              <w:rPr>
                <w:sz w:val="20"/>
              </w:rPr>
              <w:t>belanja</w:t>
            </w:r>
            <w:r>
              <w:rPr>
                <w:spacing w:val="-12"/>
                <w:sz w:val="20"/>
              </w:rPr>
              <w:t> </w:t>
            </w:r>
            <w:r>
              <w:rPr>
                <w:sz w:val="20"/>
              </w:rPr>
              <w:t>modal</w:t>
            </w:r>
            <w:r>
              <w:rPr>
                <w:spacing w:val="-11"/>
                <w:sz w:val="20"/>
              </w:rPr>
              <w:t> </w:t>
            </w:r>
            <w:r>
              <w:rPr>
                <w:sz w:val="20"/>
              </w:rPr>
              <w:t>terhadap</w:t>
            </w:r>
            <w:r>
              <w:rPr>
                <w:spacing w:val="-9"/>
                <w:sz w:val="20"/>
              </w:rPr>
              <w:t> </w:t>
            </w:r>
            <w:r>
              <w:rPr>
                <w:sz w:val="20"/>
              </w:rPr>
              <w:t>kemandirian</w:t>
            </w:r>
            <w:r>
              <w:rPr>
                <w:spacing w:val="-10"/>
                <w:sz w:val="20"/>
              </w:rPr>
              <w:t> </w:t>
            </w:r>
            <w:r>
              <w:rPr>
                <w:sz w:val="20"/>
              </w:rPr>
              <w:t>keuangan</w:t>
            </w:r>
            <w:r>
              <w:rPr>
                <w:spacing w:val="-10"/>
                <w:sz w:val="20"/>
              </w:rPr>
              <w:t> </w:t>
            </w:r>
            <w:r>
              <w:rPr>
                <w:sz w:val="20"/>
              </w:rPr>
              <w:t>daerah.</w:t>
            </w:r>
            <w:r>
              <w:rPr>
                <w:spacing w:val="-8"/>
                <w:sz w:val="20"/>
              </w:rPr>
              <w:t> </w:t>
            </w:r>
            <w:r>
              <w:rPr>
                <w:sz w:val="20"/>
              </w:rPr>
              <w:t>Populasi penelitian menggunakan data realisasi APBD Pemerintah Kabupaten/Kota di Provinsi Jawa Barat. Sampel</w:t>
            </w:r>
            <w:r>
              <w:rPr>
                <w:spacing w:val="-12"/>
                <w:sz w:val="20"/>
              </w:rPr>
              <w:t> </w:t>
            </w:r>
            <w:r>
              <w:rPr>
                <w:sz w:val="20"/>
              </w:rPr>
              <w:t>penelitian</w:t>
            </w:r>
            <w:r>
              <w:rPr>
                <w:spacing w:val="-11"/>
                <w:sz w:val="20"/>
              </w:rPr>
              <w:t> </w:t>
            </w:r>
            <w:r>
              <w:rPr>
                <w:sz w:val="20"/>
              </w:rPr>
              <w:t>sebanyak</w:t>
            </w:r>
            <w:r>
              <w:rPr>
                <w:spacing w:val="-11"/>
                <w:sz w:val="20"/>
              </w:rPr>
              <w:t> </w:t>
            </w:r>
            <w:r>
              <w:rPr>
                <w:sz w:val="20"/>
              </w:rPr>
              <w:t>18</w:t>
            </w:r>
            <w:r>
              <w:rPr>
                <w:spacing w:val="-12"/>
                <w:sz w:val="20"/>
              </w:rPr>
              <w:t> </w:t>
            </w:r>
            <w:r>
              <w:rPr>
                <w:sz w:val="20"/>
              </w:rPr>
              <w:t>kabupaten</w:t>
            </w:r>
            <w:r>
              <w:rPr>
                <w:spacing w:val="-11"/>
                <w:sz w:val="20"/>
              </w:rPr>
              <w:t> </w:t>
            </w:r>
            <w:r>
              <w:rPr>
                <w:sz w:val="20"/>
              </w:rPr>
              <w:t>dan</w:t>
            </w:r>
            <w:r>
              <w:rPr>
                <w:spacing w:val="-11"/>
                <w:sz w:val="20"/>
              </w:rPr>
              <w:t> </w:t>
            </w:r>
            <w:r>
              <w:rPr>
                <w:sz w:val="20"/>
              </w:rPr>
              <w:t>9</w:t>
            </w:r>
            <w:r>
              <w:rPr>
                <w:spacing w:val="-12"/>
                <w:sz w:val="20"/>
              </w:rPr>
              <w:t> </w:t>
            </w:r>
            <w:r>
              <w:rPr>
                <w:sz w:val="20"/>
              </w:rPr>
              <w:t>kota</w:t>
            </w:r>
            <w:r>
              <w:rPr>
                <w:spacing w:val="-11"/>
                <w:sz w:val="20"/>
              </w:rPr>
              <w:t> </w:t>
            </w:r>
            <w:r>
              <w:rPr>
                <w:sz w:val="20"/>
              </w:rPr>
              <w:t>pada</w:t>
            </w:r>
            <w:r>
              <w:rPr>
                <w:spacing w:val="-11"/>
                <w:sz w:val="20"/>
              </w:rPr>
              <w:t> </w:t>
            </w:r>
            <w:r>
              <w:rPr>
                <w:sz w:val="20"/>
              </w:rPr>
              <w:t>tahun</w:t>
            </w:r>
            <w:r>
              <w:rPr>
                <w:spacing w:val="-12"/>
                <w:sz w:val="20"/>
              </w:rPr>
              <w:t> </w:t>
            </w:r>
            <w:r>
              <w:rPr>
                <w:sz w:val="20"/>
              </w:rPr>
              <w:t>2019-2021.</w:t>
            </w:r>
            <w:r>
              <w:rPr>
                <w:spacing w:val="-11"/>
                <w:sz w:val="20"/>
              </w:rPr>
              <w:t> </w:t>
            </w:r>
            <w:r>
              <w:rPr>
                <w:sz w:val="20"/>
              </w:rPr>
              <w:t>Metode</w:t>
            </w:r>
            <w:r>
              <w:rPr>
                <w:spacing w:val="-11"/>
                <w:sz w:val="20"/>
              </w:rPr>
              <w:t> </w:t>
            </w:r>
            <w:r>
              <w:rPr>
                <w:sz w:val="20"/>
              </w:rPr>
              <w:t>analisis</w:t>
            </w:r>
            <w:r>
              <w:rPr>
                <w:spacing w:val="-11"/>
                <w:sz w:val="20"/>
              </w:rPr>
              <w:t> </w:t>
            </w:r>
            <w:r>
              <w:rPr>
                <w:sz w:val="20"/>
              </w:rPr>
              <w:t>data</w:t>
            </w:r>
            <w:r>
              <w:rPr>
                <w:spacing w:val="-12"/>
                <w:sz w:val="20"/>
              </w:rPr>
              <w:t> </w:t>
            </w:r>
            <w:r>
              <w:rPr>
                <w:sz w:val="20"/>
              </w:rPr>
              <w:t>yang digunakan</w:t>
            </w:r>
            <w:r>
              <w:rPr>
                <w:spacing w:val="-12"/>
                <w:sz w:val="20"/>
              </w:rPr>
              <w:t> </w:t>
            </w:r>
            <w:r>
              <w:rPr>
                <w:sz w:val="20"/>
              </w:rPr>
              <w:t>adalah</w:t>
            </w:r>
            <w:r>
              <w:rPr>
                <w:spacing w:val="-11"/>
                <w:sz w:val="20"/>
              </w:rPr>
              <w:t> </w:t>
            </w:r>
            <w:r>
              <w:rPr>
                <w:sz w:val="20"/>
              </w:rPr>
              <w:t>Regresi</w:t>
            </w:r>
            <w:r>
              <w:rPr>
                <w:spacing w:val="-11"/>
                <w:sz w:val="20"/>
              </w:rPr>
              <w:t> </w:t>
            </w:r>
            <w:r>
              <w:rPr>
                <w:sz w:val="20"/>
              </w:rPr>
              <w:t>Linier</w:t>
            </w:r>
            <w:r>
              <w:rPr>
                <w:spacing w:val="-12"/>
                <w:sz w:val="20"/>
              </w:rPr>
              <w:t> </w:t>
            </w:r>
            <w:r>
              <w:rPr>
                <w:sz w:val="20"/>
              </w:rPr>
              <w:t>Berganda,</w:t>
            </w:r>
            <w:r>
              <w:rPr>
                <w:spacing w:val="-11"/>
                <w:sz w:val="20"/>
              </w:rPr>
              <w:t> </w:t>
            </w:r>
            <w:r>
              <w:rPr>
                <w:sz w:val="20"/>
              </w:rPr>
              <w:t>yang</w:t>
            </w:r>
            <w:r>
              <w:rPr>
                <w:spacing w:val="-11"/>
                <w:sz w:val="20"/>
              </w:rPr>
              <w:t> </w:t>
            </w:r>
            <w:r>
              <w:rPr>
                <w:sz w:val="20"/>
              </w:rPr>
              <w:t>dianalisis</w:t>
            </w:r>
            <w:r>
              <w:rPr>
                <w:spacing w:val="-12"/>
                <w:sz w:val="20"/>
              </w:rPr>
              <w:t> </w:t>
            </w:r>
            <w:r>
              <w:rPr>
                <w:sz w:val="20"/>
              </w:rPr>
              <w:t>dalam</w:t>
            </w:r>
            <w:r>
              <w:rPr>
                <w:spacing w:val="-11"/>
                <w:sz w:val="20"/>
              </w:rPr>
              <w:t> </w:t>
            </w:r>
            <w:r>
              <w:rPr>
                <w:sz w:val="20"/>
              </w:rPr>
              <w:t>program</w:t>
            </w:r>
            <w:r>
              <w:rPr>
                <w:spacing w:val="-11"/>
                <w:sz w:val="20"/>
              </w:rPr>
              <w:t> </w:t>
            </w:r>
            <w:r>
              <w:rPr>
                <w:sz w:val="20"/>
              </w:rPr>
              <w:t>SPSS</w:t>
            </w:r>
            <w:r>
              <w:rPr>
                <w:spacing w:val="-12"/>
                <w:sz w:val="20"/>
              </w:rPr>
              <w:t> </w:t>
            </w:r>
            <w:r>
              <w:rPr>
                <w:sz w:val="20"/>
              </w:rPr>
              <w:t>versi</w:t>
            </w:r>
            <w:r>
              <w:rPr>
                <w:spacing w:val="-11"/>
                <w:sz w:val="20"/>
              </w:rPr>
              <w:t> </w:t>
            </w:r>
            <w:r>
              <w:rPr>
                <w:sz w:val="20"/>
              </w:rPr>
              <w:t>25.</w:t>
            </w:r>
            <w:r>
              <w:rPr>
                <w:spacing w:val="-8"/>
                <w:sz w:val="20"/>
              </w:rPr>
              <w:t> </w:t>
            </w:r>
            <w:r>
              <w:rPr>
                <w:sz w:val="20"/>
              </w:rPr>
              <w:t>Hasil</w:t>
            </w:r>
            <w:r>
              <w:rPr>
                <w:spacing w:val="-8"/>
                <w:sz w:val="20"/>
              </w:rPr>
              <w:t> </w:t>
            </w:r>
            <w:r>
              <w:rPr>
                <w:sz w:val="20"/>
              </w:rPr>
              <w:t>penelitian mengungkapkan</w:t>
            </w:r>
            <w:r>
              <w:rPr>
                <w:spacing w:val="-1"/>
                <w:sz w:val="20"/>
              </w:rPr>
              <w:t> </w:t>
            </w:r>
            <w:r>
              <w:rPr>
                <w:sz w:val="20"/>
              </w:rPr>
              <w:t>bahwa</w:t>
            </w:r>
            <w:r>
              <w:rPr>
                <w:spacing w:val="-6"/>
                <w:sz w:val="20"/>
              </w:rPr>
              <w:t> </w:t>
            </w:r>
            <w:r>
              <w:rPr>
                <w:sz w:val="20"/>
              </w:rPr>
              <w:t>PAD dan</w:t>
            </w:r>
            <w:r>
              <w:rPr>
                <w:spacing w:val="-5"/>
                <w:sz w:val="20"/>
              </w:rPr>
              <w:t> </w:t>
            </w:r>
            <w:r>
              <w:rPr>
                <w:sz w:val="20"/>
              </w:rPr>
              <w:t>belanja</w:t>
            </w:r>
            <w:r>
              <w:rPr>
                <w:spacing w:val="-5"/>
                <w:sz w:val="20"/>
              </w:rPr>
              <w:t> </w:t>
            </w:r>
            <w:r>
              <w:rPr>
                <w:sz w:val="20"/>
              </w:rPr>
              <w:t>modal secara</w:t>
            </w:r>
            <w:r>
              <w:rPr>
                <w:spacing w:val="-2"/>
                <w:sz w:val="20"/>
              </w:rPr>
              <w:t> </w:t>
            </w:r>
            <w:r>
              <w:rPr>
                <w:sz w:val="20"/>
              </w:rPr>
              <w:t>parsial berpengaruh</w:t>
            </w:r>
            <w:r>
              <w:rPr>
                <w:spacing w:val="-5"/>
                <w:sz w:val="20"/>
              </w:rPr>
              <w:t> </w:t>
            </w:r>
            <w:r>
              <w:rPr>
                <w:sz w:val="20"/>
              </w:rPr>
              <w:t>positif signifikan</w:t>
            </w:r>
            <w:r>
              <w:rPr>
                <w:spacing w:val="-5"/>
                <w:sz w:val="20"/>
              </w:rPr>
              <w:t> </w:t>
            </w:r>
            <w:r>
              <w:rPr>
                <w:sz w:val="20"/>
              </w:rPr>
              <w:t>terhadap tingkat kemandirian keuangan daerah. Adapun secara simultan kedua variabel tersebut juga </w:t>
            </w:r>
            <w:r>
              <w:rPr>
                <w:spacing w:val="-2"/>
                <w:sz w:val="20"/>
              </w:rPr>
              <w:t>berpengaruh.</w:t>
            </w:r>
          </w:p>
        </w:tc>
      </w:tr>
      <w:tr>
        <w:trPr>
          <w:trHeight w:val="364" w:hRule="atLeast"/>
        </w:trPr>
        <w:tc>
          <w:tcPr>
            <w:tcW w:w="8523" w:type="dxa"/>
            <w:tcBorders>
              <w:top w:val="single" w:sz="4" w:space="0" w:color="000000"/>
              <w:bottom w:val="single" w:sz="4" w:space="0" w:color="000000"/>
            </w:tcBorders>
          </w:tcPr>
          <w:p>
            <w:pPr>
              <w:pStyle w:val="TableParagraph"/>
              <w:spacing w:before="1"/>
              <w:ind w:left="124"/>
              <w:rPr>
                <w:i/>
                <w:sz w:val="20"/>
              </w:rPr>
            </w:pPr>
            <w:r>
              <w:rPr>
                <w:b/>
                <w:i/>
                <w:sz w:val="20"/>
              </w:rPr>
              <w:t>Kata</w:t>
            </w:r>
            <w:r>
              <w:rPr>
                <w:b/>
                <w:i/>
                <w:spacing w:val="-12"/>
                <w:sz w:val="20"/>
              </w:rPr>
              <w:t> </w:t>
            </w:r>
            <w:r>
              <w:rPr>
                <w:b/>
                <w:i/>
                <w:sz w:val="20"/>
              </w:rPr>
              <w:t>kunci:</w:t>
            </w:r>
            <w:r>
              <w:rPr>
                <w:b/>
                <w:i/>
                <w:spacing w:val="-9"/>
                <w:sz w:val="20"/>
              </w:rPr>
              <w:t> </w:t>
            </w:r>
            <w:r>
              <w:rPr>
                <w:i/>
                <w:sz w:val="20"/>
              </w:rPr>
              <w:t>Pendapatan</w:t>
            </w:r>
            <w:r>
              <w:rPr>
                <w:i/>
                <w:spacing w:val="-6"/>
                <w:sz w:val="20"/>
              </w:rPr>
              <w:t> </w:t>
            </w:r>
            <w:r>
              <w:rPr>
                <w:i/>
                <w:sz w:val="20"/>
              </w:rPr>
              <w:t>Asli</w:t>
            </w:r>
            <w:r>
              <w:rPr>
                <w:i/>
                <w:spacing w:val="-10"/>
                <w:sz w:val="20"/>
              </w:rPr>
              <w:t> </w:t>
            </w:r>
            <w:r>
              <w:rPr>
                <w:i/>
                <w:sz w:val="20"/>
              </w:rPr>
              <w:t>Daerah,</w:t>
            </w:r>
            <w:r>
              <w:rPr>
                <w:i/>
                <w:spacing w:val="-11"/>
                <w:sz w:val="20"/>
              </w:rPr>
              <w:t> </w:t>
            </w:r>
            <w:r>
              <w:rPr>
                <w:i/>
                <w:sz w:val="20"/>
              </w:rPr>
              <w:t>Belanja</w:t>
            </w:r>
            <w:r>
              <w:rPr>
                <w:i/>
                <w:spacing w:val="-10"/>
                <w:sz w:val="20"/>
              </w:rPr>
              <w:t> </w:t>
            </w:r>
            <w:r>
              <w:rPr>
                <w:i/>
                <w:sz w:val="20"/>
              </w:rPr>
              <w:t>Modal,</w:t>
            </w:r>
            <w:r>
              <w:rPr>
                <w:i/>
                <w:spacing w:val="-9"/>
                <w:sz w:val="20"/>
              </w:rPr>
              <w:t> </w:t>
            </w:r>
            <w:r>
              <w:rPr>
                <w:i/>
                <w:sz w:val="20"/>
              </w:rPr>
              <w:t>Kemandirian</w:t>
            </w:r>
            <w:r>
              <w:rPr>
                <w:i/>
                <w:spacing w:val="-10"/>
                <w:sz w:val="20"/>
              </w:rPr>
              <w:t> </w:t>
            </w:r>
            <w:r>
              <w:rPr>
                <w:i/>
                <w:sz w:val="20"/>
              </w:rPr>
              <w:t>Keuangan</w:t>
            </w:r>
            <w:r>
              <w:rPr>
                <w:i/>
                <w:spacing w:val="-9"/>
                <w:sz w:val="20"/>
              </w:rPr>
              <w:t> </w:t>
            </w:r>
            <w:r>
              <w:rPr>
                <w:i/>
                <w:spacing w:val="-2"/>
                <w:sz w:val="20"/>
              </w:rPr>
              <w:t>Daerah.</w:t>
            </w:r>
          </w:p>
        </w:tc>
      </w:tr>
      <w:tr>
        <w:trPr>
          <w:trHeight w:val="3533" w:hRule="atLeast"/>
        </w:trPr>
        <w:tc>
          <w:tcPr>
            <w:tcW w:w="8523" w:type="dxa"/>
            <w:tcBorders>
              <w:top w:val="single" w:sz="4" w:space="0" w:color="000000"/>
              <w:bottom w:val="single" w:sz="4" w:space="0" w:color="000000"/>
            </w:tcBorders>
          </w:tcPr>
          <w:p>
            <w:pPr>
              <w:pStyle w:val="TableParagraph"/>
              <w:spacing w:before="204"/>
              <w:rPr>
                <w:sz w:val="20"/>
              </w:rPr>
            </w:pPr>
          </w:p>
          <w:p>
            <w:pPr>
              <w:pStyle w:val="TableParagraph"/>
              <w:ind w:left="11"/>
              <w:jc w:val="center"/>
              <w:rPr>
                <w:i/>
                <w:sz w:val="20"/>
              </w:rPr>
            </w:pPr>
            <w:r>
              <w:rPr>
                <w:i/>
                <w:spacing w:val="-2"/>
                <w:sz w:val="20"/>
              </w:rPr>
              <w:t>ABSTRACT</w:t>
            </w:r>
          </w:p>
          <w:p>
            <w:pPr>
              <w:pStyle w:val="TableParagraph"/>
              <w:spacing w:before="197"/>
              <w:ind w:left="124" w:right="104"/>
              <w:jc w:val="both"/>
              <w:rPr>
                <w:i/>
                <w:sz w:val="20"/>
              </w:rPr>
            </w:pPr>
            <w:r>
              <w:rPr>
                <w:i/>
                <w:sz w:val="20"/>
              </w:rPr>
              <w:t>Regional financial independence is the ability of the region to fund development, public services and government</w:t>
            </w:r>
            <w:r>
              <w:rPr>
                <w:i/>
                <w:spacing w:val="-9"/>
                <w:sz w:val="20"/>
              </w:rPr>
              <w:t> </w:t>
            </w:r>
            <w:r>
              <w:rPr>
                <w:i/>
                <w:sz w:val="20"/>
              </w:rPr>
              <w:t>affairs</w:t>
            </w:r>
            <w:r>
              <w:rPr>
                <w:i/>
                <w:spacing w:val="-10"/>
                <w:sz w:val="20"/>
              </w:rPr>
              <w:t> </w:t>
            </w:r>
            <w:r>
              <w:rPr>
                <w:i/>
                <w:sz w:val="20"/>
              </w:rPr>
              <w:t>independently.</w:t>
            </w:r>
            <w:r>
              <w:rPr>
                <w:i/>
                <w:spacing w:val="-6"/>
                <w:sz w:val="20"/>
              </w:rPr>
              <w:t> </w:t>
            </w:r>
            <w:r>
              <w:rPr>
                <w:i/>
                <w:sz w:val="20"/>
              </w:rPr>
              <w:t>This</w:t>
            </w:r>
            <w:r>
              <w:rPr>
                <w:i/>
                <w:spacing w:val="-10"/>
                <w:sz w:val="20"/>
              </w:rPr>
              <w:t> </w:t>
            </w:r>
            <w:r>
              <w:rPr>
                <w:i/>
                <w:sz w:val="20"/>
              </w:rPr>
              <w:t>study</w:t>
            </w:r>
            <w:r>
              <w:rPr>
                <w:i/>
                <w:spacing w:val="-8"/>
                <w:sz w:val="20"/>
              </w:rPr>
              <w:t> </w:t>
            </w:r>
            <w:r>
              <w:rPr>
                <w:i/>
                <w:sz w:val="20"/>
              </w:rPr>
              <w:t>aims</w:t>
            </w:r>
            <w:r>
              <w:rPr>
                <w:i/>
                <w:spacing w:val="-5"/>
                <w:sz w:val="20"/>
              </w:rPr>
              <w:t> </w:t>
            </w:r>
            <w:r>
              <w:rPr>
                <w:i/>
                <w:sz w:val="20"/>
              </w:rPr>
              <w:t>to</w:t>
            </w:r>
            <w:r>
              <w:rPr>
                <w:i/>
                <w:spacing w:val="-6"/>
                <w:sz w:val="20"/>
              </w:rPr>
              <w:t> </w:t>
            </w:r>
            <w:r>
              <w:rPr>
                <w:i/>
                <w:sz w:val="20"/>
              </w:rPr>
              <w:t>analyze</w:t>
            </w:r>
            <w:r>
              <w:rPr>
                <w:i/>
                <w:spacing w:val="-4"/>
                <w:sz w:val="20"/>
              </w:rPr>
              <w:t> </w:t>
            </w:r>
            <w:r>
              <w:rPr>
                <w:i/>
                <w:sz w:val="20"/>
              </w:rPr>
              <w:t>the</w:t>
            </w:r>
            <w:r>
              <w:rPr>
                <w:i/>
                <w:spacing w:val="-9"/>
                <w:sz w:val="20"/>
              </w:rPr>
              <w:t> </w:t>
            </w:r>
            <w:r>
              <w:rPr>
                <w:i/>
                <w:sz w:val="20"/>
              </w:rPr>
              <w:t>effect</w:t>
            </w:r>
            <w:r>
              <w:rPr>
                <w:i/>
                <w:spacing w:val="-4"/>
                <w:sz w:val="20"/>
              </w:rPr>
              <w:t> </w:t>
            </w:r>
            <w:r>
              <w:rPr>
                <w:i/>
                <w:sz w:val="20"/>
              </w:rPr>
              <w:t>of</w:t>
            </w:r>
            <w:r>
              <w:rPr>
                <w:i/>
                <w:spacing w:val="-3"/>
                <w:sz w:val="20"/>
              </w:rPr>
              <w:t> </w:t>
            </w:r>
            <w:r>
              <w:rPr>
                <w:i/>
                <w:sz w:val="20"/>
              </w:rPr>
              <w:t>regional</w:t>
            </w:r>
            <w:r>
              <w:rPr>
                <w:i/>
                <w:spacing w:val="-7"/>
                <w:sz w:val="20"/>
              </w:rPr>
              <w:t> </w:t>
            </w:r>
            <w:r>
              <w:rPr>
                <w:i/>
                <w:sz w:val="20"/>
              </w:rPr>
              <w:t>original</w:t>
            </w:r>
            <w:r>
              <w:rPr>
                <w:i/>
                <w:spacing w:val="-7"/>
                <w:sz w:val="20"/>
              </w:rPr>
              <w:t> </w:t>
            </w:r>
            <w:r>
              <w:rPr>
                <w:i/>
                <w:sz w:val="20"/>
              </w:rPr>
              <w:t>income</w:t>
            </w:r>
            <w:r>
              <w:rPr>
                <w:i/>
                <w:spacing w:val="-9"/>
                <w:sz w:val="20"/>
              </w:rPr>
              <w:t> </w:t>
            </w:r>
            <w:r>
              <w:rPr>
                <w:i/>
                <w:sz w:val="20"/>
              </w:rPr>
              <w:t>and capital expenditure on regional financial independence. The research population uses data on the realization of the District/City Government APBD in West Java Province. The research sample is 18 districts and 9 cities in 2019-2021. The data analysis method is Multiple Linear Regression, which is analyzed in the SPSS version 25 program. The results of the study reveal that PAD and capital expenditure partially have a significant positive effect on the level of regional financial independence. As for simultaneously the two variables also affect it.</w:t>
            </w:r>
          </w:p>
        </w:tc>
      </w:tr>
      <w:tr>
        <w:trPr>
          <w:trHeight w:val="441" w:hRule="atLeast"/>
        </w:trPr>
        <w:tc>
          <w:tcPr>
            <w:tcW w:w="8523" w:type="dxa"/>
            <w:tcBorders>
              <w:top w:val="single" w:sz="4" w:space="0" w:color="000000"/>
              <w:bottom w:val="single" w:sz="4" w:space="0" w:color="000000"/>
            </w:tcBorders>
          </w:tcPr>
          <w:p>
            <w:pPr>
              <w:pStyle w:val="TableParagraph"/>
              <w:spacing w:before="1"/>
              <w:ind w:left="124"/>
              <w:rPr>
                <w:i/>
                <w:sz w:val="20"/>
              </w:rPr>
            </w:pPr>
            <w:r>
              <w:rPr>
                <w:i/>
                <w:spacing w:val="-2"/>
                <w:sz w:val="20"/>
              </w:rPr>
              <w:t>Keywords</w:t>
            </w:r>
            <w:r>
              <w:rPr>
                <w:spacing w:val="-2"/>
                <w:sz w:val="20"/>
              </w:rPr>
              <w:t>:</w:t>
            </w:r>
            <w:r>
              <w:rPr>
                <w:sz w:val="20"/>
              </w:rPr>
              <w:t> </w:t>
            </w:r>
            <w:r>
              <w:rPr>
                <w:i/>
                <w:spacing w:val="-2"/>
                <w:sz w:val="20"/>
              </w:rPr>
              <w:t>Regional</w:t>
            </w:r>
            <w:r>
              <w:rPr>
                <w:i/>
                <w:spacing w:val="13"/>
                <w:sz w:val="20"/>
              </w:rPr>
              <w:t> </w:t>
            </w:r>
            <w:r>
              <w:rPr>
                <w:i/>
                <w:spacing w:val="-2"/>
                <w:sz w:val="20"/>
              </w:rPr>
              <w:t>Original</w:t>
            </w:r>
            <w:r>
              <w:rPr>
                <w:i/>
                <w:spacing w:val="6"/>
                <w:sz w:val="20"/>
              </w:rPr>
              <w:t> </w:t>
            </w:r>
            <w:r>
              <w:rPr>
                <w:i/>
                <w:spacing w:val="-2"/>
                <w:sz w:val="20"/>
              </w:rPr>
              <w:t>Income,</w:t>
            </w:r>
            <w:r>
              <w:rPr>
                <w:i/>
                <w:spacing w:val="2"/>
                <w:sz w:val="20"/>
              </w:rPr>
              <w:t> </w:t>
            </w:r>
            <w:r>
              <w:rPr>
                <w:i/>
                <w:spacing w:val="-2"/>
                <w:sz w:val="20"/>
              </w:rPr>
              <w:t>Capital</w:t>
            </w:r>
            <w:r>
              <w:rPr>
                <w:i/>
                <w:spacing w:val="6"/>
                <w:sz w:val="20"/>
              </w:rPr>
              <w:t> </w:t>
            </w:r>
            <w:r>
              <w:rPr>
                <w:i/>
                <w:spacing w:val="-2"/>
                <w:sz w:val="20"/>
              </w:rPr>
              <w:t>Expenditure,</w:t>
            </w:r>
            <w:r>
              <w:rPr>
                <w:i/>
                <w:spacing w:val="2"/>
                <w:sz w:val="20"/>
              </w:rPr>
              <w:t> </w:t>
            </w:r>
            <w:r>
              <w:rPr>
                <w:i/>
                <w:spacing w:val="-2"/>
                <w:sz w:val="20"/>
              </w:rPr>
              <w:t>Regional</w:t>
            </w:r>
            <w:r>
              <w:rPr>
                <w:i/>
                <w:spacing w:val="6"/>
                <w:sz w:val="20"/>
              </w:rPr>
              <w:t> </w:t>
            </w:r>
            <w:r>
              <w:rPr>
                <w:i/>
                <w:spacing w:val="-2"/>
                <w:sz w:val="20"/>
              </w:rPr>
              <w:t>Financial</w:t>
            </w:r>
            <w:r>
              <w:rPr>
                <w:i/>
                <w:spacing w:val="7"/>
                <w:sz w:val="20"/>
              </w:rPr>
              <w:t> </w:t>
            </w:r>
            <w:r>
              <w:rPr>
                <w:i/>
                <w:spacing w:val="-2"/>
                <w:sz w:val="20"/>
              </w:rPr>
              <w:t>Independence</w:t>
            </w:r>
          </w:p>
        </w:tc>
      </w:tr>
    </w:tbl>
    <w:p>
      <w:pPr>
        <w:pStyle w:val="BodyText"/>
        <w:spacing w:before="61"/>
        <w:rPr>
          <w:sz w:val="18"/>
        </w:rPr>
      </w:pPr>
    </w:p>
    <w:p>
      <w:pPr>
        <w:spacing w:before="0"/>
        <w:ind w:left="1214" w:right="112" w:hanging="1052"/>
        <w:jc w:val="left"/>
        <w:rPr>
          <w:sz w:val="18"/>
        </w:rPr>
      </w:pPr>
      <w:r>
        <w:rPr/>
        <mc:AlternateContent>
          <mc:Choice Requires="wps">
            <w:drawing>
              <wp:anchor distT="0" distB="0" distL="0" distR="0" allowOverlap="1" layoutInCell="1" locked="0" behindDoc="1" simplePos="0" relativeHeight="487587840">
                <wp:simplePos x="0" y="0"/>
                <wp:positionH relativeFrom="page">
                  <wp:posOffset>1085850</wp:posOffset>
                </wp:positionH>
                <wp:positionV relativeFrom="paragraph">
                  <wp:posOffset>303005</wp:posOffset>
                </wp:positionV>
                <wp:extent cx="536257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362575" cy="1270"/>
                        </a:xfrm>
                        <a:custGeom>
                          <a:avLst/>
                          <a:gdLst/>
                          <a:ahLst/>
                          <a:cxnLst/>
                          <a:rect l="l" t="t" r="r" b="b"/>
                          <a:pathLst>
                            <a:path w="5362575" h="0">
                              <a:moveTo>
                                <a:pt x="0" y="0"/>
                              </a:moveTo>
                              <a:lnTo>
                                <a:pt x="53625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5pt;margin-top:23.858683pt;width:422.25pt;height:.1pt;mso-position-horizontal-relative:page;mso-position-vertical-relative:paragraph;z-index:-15728640;mso-wrap-distance-left:0;mso-wrap-distance-right:0" id="docshape4" coordorigin="1710,477" coordsize="8445,0" path="m1710,477l10155,477e" filled="false" stroked="true" strokeweight=".75pt" strokecolor="#000000">
                <v:path arrowok="t"/>
                <v:stroke dashstyle="solid"/>
                <w10:wrap type="topAndBottom"/>
              </v:shape>
            </w:pict>
          </mc:Fallback>
        </mc:AlternateContent>
      </w:r>
      <w:r>
        <w:rPr>
          <w:sz w:val="18"/>
        </w:rPr>
        <w:t>Copyright</w:t>
      </w:r>
      <w:r>
        <w:rPr>
          <w:spacing w:val="39"/>
          <w:sz w:val="18"/>
        </w:rPr>
        <w:t> </w:t>
      </w:r>
      <w:r>
        <w:rPr>
          <w:b/>
          <w:i/>
          <w:sz w:val="18"/>
        </w:rPr>
        <w:t>©</w:t>
      </w:r>
      <w:r>
        <w:rPr>
          <w:b/>
          <w:i/>
          <w:spacing w:val="39"/>
          <w:sz w:val="18"/>
        </w:rPr>
        <w:t> </w:t>
      </w:r>
      <w:r>
        <w:rPr>
          <w:sz w:val="18"/>
        </w:rPr>
        <w:t>2024</w:t>
      </w:r>
      <w:r>
        <w:rPr>
          <w:spacing w:val="32"/>
          <w:sz w:val="18"/>
        </w:rPr>
        <w:t> </w:t>
      </w:r>
      <w:r>
        <w:rPr>
          <w:sz w:val="18"/>
        </w:rPr>
        <w:t>Program</w:t>
      </w:r>
      <w:r>
        <w:rPr>
          <w:spacing w:val="36"/>
          <w:sz w:val="18"/>
        </w:rPr>
        <w:t> </w:t>
      </w:r>
      <w:r>
        <w:rPr>
          <w:sz w:val="18"/>
        </w:rPr>
        <w:t>Studi</w:t>
      </w:r>
      <w:r>
        <w:rPr>
          <w:spacing w:val="40"/>
          <w:sz w:val="18"/>
        </w:rPr>
        <w:t> </w:t>
      </w:r>
      <w:r>
        <w:rPr>
          <w:sz w:val="18"/>
        </w:rPr>
        <w:t>Akuntansi,</w:t>
      </w:r>
      <w:r>
        <w:rPr>
          <w:spacing w:val="35"/>
          <w:sz w:val="18"/>
        </w:rPr>
        <w:t> </w:t>
      </w:r>
      <w:r>
        <w:rPr>
          <w:sz w:val="18"/>
        </w:rPr>
        <w:t>Fakultas</w:t>
      </w:r>
      <w:r>
        <w:rPr>
          <w:spacing w:val="34"/>
          <w:sz w:val="18"/>
        </w:rPr>
        <w:t> </w:t>
      </w:r>
      <w:r>
        <w:rPr>
          <w:sz w:val="18"/>
        </w:rPr>
        <w:t>Ekonomika</w:t>
      </w:r>
      <w:r>
        <w:rPr>
          <w:spacing w:val="37"/>
          <w:sz w:val="18"/>
        </w:rPr>
        <w:t> </w:t>
      </w:r>
      <w:r>
        <w:rPr>
          <w:sz w:val="18"/>
        </w:rPr>
        <w:t>dan</w:t>
      </w:r>
      <w:r>
        <w:rPr>
          <w:spacing w:val="39"/>
          <w:sz w:val="18"/>
        </w:rPr>
        <w:t> </w:t>
      </w:r>
      <w:r>
        <w:rPr>
          <w:sz w:val="18"/>
        </w:rPr>
        <w:t>Bisnis</w:t>
      </w:r>
      <w:r>
        <w:rPr>
          <w:spacing w:val="40"/>
          <w:sz w:val="18"/>
        </w:rPr>
        <w:t> </w:t>
      </w:r>
      <w:r>
        <w:rPr>
          <w:sz w:val="18"/>
        </w:rPr>
        <w:t>Universitas</w:t>
      </w:r>
      <w:r>
        <w:rPr>
          <w:spacing w:val="39"/>
          <w:sz w:val="18"/>
        </w:rPr>
        <w:t> </w:t>
      </w:r>
      <w:r>
        <w:rPr>
          <w:sz w:val="18"/>
        </w:rPr>
        <w:t>Majalengka.</w:t>
      </w:r>
      <w:r>
        <w:rPr>
          <w:spacing w:val="39"/>
          <w:sz w:val="18"/>
        </w:rPr>
        <w:t> </w:t>
      </w:r>
      <w:r>
        <w:rPr>
          <w:sz w:val="18"/>
        </w:rPr>
        <w:t>All</w:t>
      </w:r>
      <w:r>
        <w:rPr>
          <w:spacing w:val="39"/>
          <w:sz w:val="18"/>
        </w:rPr>
        <w:t> </w:t>
      </w:r>
      <w:r>
        <w:rPr>
          <w:sz w:val="18"/>
        </w:rPr>
        <w:t>rights </w:t>
      </w:r>
      <w:r>
        <w:rPr>
          <w:spacing w:val="-2"/>
          <w:sz w:val="18"/>
        </w:rPr>
        <w:t>reserved.</w:t>
      </w:r>
    </w:p>
    <w:p>
      <w:pPr>
        <w:spacing w:after="0"/>
        <w:jc w:val="left"/>
        <w:rPr>
          <w:sz w:val="18"/>
        </w:rPr>
        <w:sectPr>
          <w:headerReference w:type="default" r:id="rId5"/>
          <w:footerReference w:type="default" r:id="rId6"/>
          <w:type w:val="continuous"/>
          <w:pgSz w:w="11910" w:h="16840"/>
          <w:pgMar w:header="891" w:footer="1118" w:top="1640" w:bottom="1300" w:left="1580" w:right="1580"/>
          <w:pgNumType w:start="178"/>
        </w:sectPr>
      </w:pPr>
    </w:p>
    <w:p>
      <w:pPr>
        <w:pStyle w:val="Heading1"/>
        <w:spacing w:before="46"/>
      </w:pPr>
      <w:bookmarkStart w:name="PENDAHULUAN" w:id="1"/>
      <w:bookmarkEnd w:id="1"/>
      <w:r>
        <w:rPr>
          <w:b w:val="0"/>
        </w:rPr>
      </w:r>
      <w:r>
        <w:rPr>
          <w:spacing w:val="-2"/>
        </w:rPr>
        <w:t>PENDAHULUAN</w:t>
      </w:r>
    </w:p>
    <w:p>
      <w:pPr>
        <w:pStyle w:val="BodyText"/>
        <w:ind w:left="119" w:right="109" w:firstLine="710"/>
        <w:jc w:val="both"/>
      </w:pPr>
      <w:r>
        <w:rPr/>
        <w:t>Definisi mengenai otonomi daerah dijelaskan dalam UU No. 32 tahun 2004. Dilandasakan pada UUD 1945 bahwa pemerintah daerah mencakup daerah besar maupun daerah kecil. Pemerintah provinsi merupakan daerah besar, sementara itu pemerintah kabupaten/kota disebut sebagai daerah kecil. Provinsi merupakan daerah otonom sehingga </w:t>
      </w:r>
      <w:r>
        <w:rPr>
          <w:spacing w:val="-2"/>
        </w:rPr>
        <w:t>pemerintah</w:t>
      </w:r>
      <w:r>
        <w:rPr>
          <w:spacing w:val="-11"/>
        </w:rPr>
        <w:t> </w:t>
      </w:r>
      <w:r>
        <w:rPr>
          <w:spacing w:val="-2"/>
        </w:rPr>
        <w:t>kabupaten</w:t>
      </w:r>
      <w:r>
        <w:rPr>
          <w:spacing w:val="-10"/>
        </w:rPr>
        <w:t> </w:t>
      </w:r>
      <w:r>
        <w:rPr>
          <w:spacing w:val="-2"/>
        </w:rPr>
        <w:t>atau</w:t>
      </w:r>
      <w:r>
        <w:rPr>
          <w:spacing w:val="-11"/>
        </w:rPr>
        <w:t> </w:t>
      </w:r>
      <w:r>
        <w:rPr>
          <w:spacing w:val="-2"/>
        </w:rPr>
        <w:t>kota</w:t>
      </w:r>
      <w:r>
        <w:rPr>
          <w:spacing w:val="-10"/>
        </w:rPr>
        <w:t> </w:t>
      </w:r>
      <w:r>
        <w:rPr>
          <w:spacing w:val="-2"/>
        </w:rPr>
        <w:t>bekan</w:t>
      </w:r>
      <w:r>
        <w:rPr>
          <w:spacing w:val="-6"/>
        </w:rPr>
        <w:t> </w:t>
      </w:r>
      <w:r>
        <w:rPr>
          <w:spacing w:val="-2"/>
        </w:rPr>
        <w:t>berada</w:t>
      </w:r>
      <w:r>
        <w:rPr>
          <w:spacing w:val="-6"/>
        </w:rPr>
        <w:t> </w:t>
      </w:r>
      <w:r>
        <w:rPr>
          <w:spacing w:val="-2"/>
        </w:rPr>
        <w:t>di</w:t>
      </w:r>
      <w:r>
        <w:rPr>
          <w:spacing w:val="-5"/>
        </w:rPr>
        <w:t> </w:t>
      </w:r>
      <w:r>
        <w:rPr>
          <w:spacing w:val="-2"/>
        </w:rPr>
        <w:t>bawah</w:t>
      </w:r>
      <w:r>
        <w:rPr>
          <w:spacing w:val="-8"/>
        </w:rPr>
        <w:t> </w:t>
      </w:r>
      <w:r>
        <w:rPr>
          <w:spacing w:val="-2"/>
        </w:rPr>
        <w:t>kendalinya.</w:t>
      </w:r>
      <w:r>
        <w:rPr>
          <w:spacing w:val="-11"/>
        </w:rPr>
        <w:t> </w:t>
      </w:r>
      <w:r>
        <w:rPr>
          <w:spacing w:val="-2"/>
        </w:rPr>
        <w:t>Namun,</w:t>
      </w:r>
      <w:r>
        <w:rPr>
          <w:spacing w:val="-10"/>
        </w:rPr>
        <w:t> </w:t>
      </w:r>
      <w:r>
        <w:rPr>
          <w:spacing w:val="-2"/>
        </w:rPr>
        <w:t>secara</w:t>
      </w:r>
      <w:r>
        <w:rPr>
          <w:spacing w:val="-11"/>
        </w:rPr>
        <w:t> </w:t>
      </w:r>
      <w:r>
        <w:rPr>
          <w:spacing w:val="-2"/>
        </w:rPr>
        <w:t>administratif </w:t>
      </w:r>
      <w:r>
        <w:rPr/>
        <w:t>bahwa pemerintah kabupaten/kota menjadi bawahan dari pemerintah provinsi Tujuan dari pemberian otonomi bagi daerah adalah guna mempercepat tercapainya kesejahteraan masyarakat dengan cara meningkatkan pelayanan, memberdayakan dan mengajak masyarakat untuk</w:t>
      </w:r>
      <w:r>
        <w:rPr>
          <w:spacing w:val="-8"/>
        </w:rPr>
        <w:t> </w:t>
      </w:r>
      <w:r>
        <w:rPr/>
        <w:t>berpartisipasi</w:t>
      </w:r>
      <w:r>
        <w:rPr>
          <w:spacing w:val="-6"/>
        </w:rPr>
        <w:t> </w:t>
      </w:r>
      <w:r>
        <w:rPr/>
        <w:t>dalam</w:t>
      </w:r>
      <w:r>
        <w:rPr>
          <w:spacing w:val="-7"/>
        </w:rPr>
        <w:t> </w:t>
      </w:r>
      <w:r>
        <w:rPr/>
        <w:t>proses</w:t>
      </w:r>
      <w:r>
        <w:rPr>
          <w:spacing w:val="-8"/>
        </w:rPr>
        <w:t> </w:t>
      </w:r>
      <w:r>
        <w:rPr/>
        <w:t>pembangunan.</w:t>
      </w:r>
      <w:r>
        <w:rPr>
          <w:spacing w:val="-6"/>
        </w:rPr>
        <w:t> </w:t>
      </w:r>
      <w:r>
        <w:rPr/>
        <w:t>Kesuksesan</w:t>
      </w:r>
      <w:r>
        <w:rPr>
          <w:spacing w:val="-5"/>
        </w:rPr>
        <w:t> </w:t>
      </w:r>
      <w:r>
        <w:rPr/>
        <w:t>otonomi</w:t>
      </w:r>
      <w:r>
        <w:rPr>
          <w:spacing w:val="-11"/>
        </w:rPr>
        <w:t> </w:t>
      </w:r>
      <w:r>
        <w:rPr/>
        <w:t>daerah</w:t>
      </w:r>
      <w:r>
        <w:rPr>
          <w:spacing w:val="-8"/>
        </w:rPr>
        <w:t> </w:t>
      </w:r>
      <w:r>
        <w:rPr/>
        <w:t>dapat</w:t>
      </w:r>
      <w:r>
        <w:rPr>
          <w:spacing w:val="-6"/>
        </w:rPr>
        <w:t> </w:t>
      </w:r>
      <w:r>
        <w:rPr/>
        <w:t>dinilai</w:t>
      </w:r>
      <w:r>
        <w:rPr>
          <w:spacing w:val="-6"/>
        </w:rPr>
        <w:t> </w:t>
      </w:r>
      <w:r>
        <w:rPr/>
        <w:t>dari tingkat kemandirian daerah.</w:t>
      </w:r>
    </w:p>
    <w:p>
      <w:pPr>
        <w:pStyle w:val="BodyText"/>
        <w:spacing w:before="4"/>
        <w:ind w:left="119" w:right="114" w:firstLine="710"/>
        <w:jc w:val="both"/>
      </w:pPr>
      <w:r>
        <w:rPr/>
        <w:t>Pemerintah Indonesia memustuskan untuk memberlakukan otonomi daerah dengan tujuan untuk mencapai kemandirian keuangan daerah, yang dapat dilihat dari kemampuan daerah guna mendanai pembangunan, pelaksanaanpemerintahan, dan pelayanan terhadap masyarakat secara mandiri, dimana pendapatan daerah dapat berasal dari pengembangan potensi daerah dan retribusi pajak (Sintia, 2019). (Rahayu &amp; Halim, 2016)juga mengungkapkan hal yang sama bahwsa kemandirian keuangan daerah ditunjukan dari kemammpuannya dalam mendanai seluruh kegiatan yang diprogramkan oleh pemerintah daerah, adapun sumber pendapatan dapat diperoleh melalui retribusi dan pembayaran pajak dari masyarakat. Apabila pemerintahan daerah mampu meminimalisir pendanaan yang berasal dari pemerintah pusat dan pihak eksternal maka daerah tersebut dikatakan sebagai daerah yang mandiri.</w:t>
      </w:r>
    </w:p>
    <w:p>
      <w:pPr>
        <w:pStyle w:val="BodyText"/>
        <w:ind w:left="119" w:right="113" w:firstLine="710"/>
        <w:jc w:val="both"/>
      </w:pPr>
      <w:r>
        <w:rPr/>
        <w:t>Provinsi Jawa Barat adalah daerah otomom yang mencakup 18 kabupaten dan 9 kota, sehingga setiap pemerintah</w:t>
      </w:r>
      <w:r>
        <w:rPr>
          <w:spacing w:val="40"/>
        </w:rPr>
        <w:t> </w:t>
      </w:r>
      <w:r>
        <w:rPr/>
        <w:t>Kabupaten/Kota diharapkan mampu mengelola keuangan daerah dan</w:t>
      </w:r>
      <w:r>
        <w:rPr>
          <w:spacing w:val="-13"/>
        </w:rPr>
        <w:t> </w:t>
      </w:r>
      <w:r>
        <w:rPr/>
        <w:t>lebih</w:t>
      </w:r>
      <w:r>
        <w:rPr>
          <w:spacing w:val="-12"/>
        </w:rPr>
        <w:t> </w:t>
      </w:r>
      <w:r>
        <w:rPr/>
        <w:t>mandiri</w:t>
      </w:r>
      <w:r>
        <w:rPr>
          <w:spacing w:val="-11"/>
        </w:rPr>
        <w:t> </w:t>
      </w:r>
      <w:r>
        <w:rPr/>
        <w:t>dalam</w:t>
      </w:r>
      <w:r>
        <w:rPr>
          <w:spacing w:val="-11"/>
        </w:rPr>
        <w:t> </w:t>
      </w:r>
      <w:r>
        <w:rPr/>
        <w:t>mengelola</w:t>
      </w:r>
      <w:r>
        <w:rPr>
          <w:spacing w:val="-12"/>
        </w:rPr>
        <w:t> </w:t>
      </w:r>
      <w:r>
        <w:rPr/>
        <w:t>pemerintahannya,</w:t>
      </w:r>
      <w:r>
        <w:rPr>
          <w:spacing w:val="-13"/>
        </w:rPr>
        <w:t> </w:t>
      </w:r>
      <w:r>
        <w:rPr/>
        <w:t>hal</w:t>
      </w:r>
      <w:r>
        <w:rPr>
          <w:spacing w:val="-9"/>
        </w:rPr>
        <w:t> </w:t>
      </w:r>
      <w:r>
        <w:rPr/>
        <w:t>ini</w:t>
      </w:r>
      <w:r>
        <w:rPr>
          <w:spacing w:val="-10"/>
        </w:rPr>
        <w:t> </w:t>
      </w:r>
      <w:r>
        <w:rPr/>
        <w:t>dilakukan</w:t>
      </w:r>
      <w:r>
        <w:rPr>
          <w:spacing w:val="-13"/>
        </w:rPr>
        <w:t> </w:t>
      </w:r>
      <w:r>
        <w:rPr/>
        <w:t>untuk</w:t>
      </w:r>
      <w:r>
        <w:rPr>
          <w:spacing w:val="-10"/>
        </w:rPr>
        <w:t> </w:t>
      </w:r>
      <w:r>
        <w:rPr/>
        <w:t>mendorong</w:t>
      </w:r>
      <w:r>
        <w:rPr>
          <w:spacing w:val="-10"/>
        </w:rPr>
        <w:t> </w:t>
      </w:r>
      <w:r>
        <w:rPr/>
        <w:t>setiap daerah agar tidak menggantungkan pendanaan yang bersumber dari pemerintah pusat atau pihak eksternal. Berikut adalah gambaran Realisasi gambaran</w:t>
      </w:r>
      <w:r>
        <w:rPr>
          <w:spacing w:val="40"/>
        </w:rPr>
        <w:t> </w:t>
      </w:r>
      <w:r>
        <w:rPr/>
        <w:t>penerimaan seluruh Kabupaten/Kota Jawa Barat melalui website http//djpk.kemenkeu.go.id/ yaitu:</w:t>
      </w:r>
    </w:p>
    <w:p>
      <w:pPr>
        <w:pStyle w:val="BodyText"/>
      </w:pPr>
    </w:p>
    <w:p>
      <w:pPr>
        <w:pStyle w:val="Heading2"/>
        <w:ind w:left="9" w:right="127"/>
        <w:jc w:val="center"/>
      </w:pPr>
      <w:r>
        <w:rPr/>
        <w:t>Tabel</w:t>
      </w:r>
      <w:r>
        <w:rPr>
          <w:spacing w:val="-3"/>
        </w:rPr>
        <w:t> </w:t>
      </w:r>
      <w:r>
        <w:rPr>
          <w:spacing w:val="-10"/>
        </w:rPr>
        <w:t>1</w:t>
      </w:r>
    </w:p>
    <w:p>
      <w:pPr>
        <w:spacing w:before="1"/>
        <w:ind w:left="1307" w:right="1429" w:firstLine="0"/>
        <w:jc w:val="center"/>
        <w:rPr>
          <w:b/>
          <w:sz w:val="22"/>
        </w:rPr>
      </w:pPr>
      <w:r>
        <w:rPr>
          <w:b/>
          <w:sz w:val="22"/>
        </w:rPr>
        <w:t>Tingkat</w:t>
      </w:r>
      <w:r>
        <w:rPr>
          <w:b/>
          <w:spacing w:val="-7"/>
          <w:sz w:val="22"/>
        </w:rPr>
        <w:t> </w:t>
      </w:r>
      <w:r>
        <w:rPr>
          <w:b/>
          <w:sz w:val="22"/>
        </w:rPr>
        <w:t>Kemandirian</w:t>
      </w:r>
      <w:r>
        <w:rPr>
          <w:b/>
          <w:spacing w:val="-6"/>
          <w:sz w:val="22"/>
        </w:rPr>
        <w:t> </w:t>
      </w:r>
      <w:r>
        <w:rPr>
          <w:b/>
          <w:sz w:val="22"/>
        </w:rPr>
        <w:t>Keuangan</w:t>
      </w:r>
      <w:r>
        <w:rPr>
          <w:b/>
          <w:spacing w:val="-6"/>
          <w:sz w:val="22"/>
        </w:rPr>
        <w:t> </w:t>
      </w:r>
      <w:r>
        <w:rPr>
          <w:b/>
          <w:sz w:val="22"/>
        </w:rPr>
        <w:t>seluruh</w:t>
      </w:r>
      <w:r>
        <w:rPr>
          <w:b/>
          <w:spacing w:val="-6"/>
          <w:sz w:val="22"/>
        </w:rPr>
        <w:t> </w:t>
      </w:r>
      <w:r>
        <w:rPr>
          <w:b/>
          <w:sz w:val="22"/>
        </w:rPr>
        <w:t>kabupaten/</w:t>
      </w:r>
      <w:r>
        <w:rPr>
          <w:b/>
          <w:spacing w:val="-6"/>
          <w:sz w:val="22"/>
        </w:rPr>
        <w:t> </w:t>
      </w:r>
      <w:r>
        <w:rPr>
          <w:b/>
          <w:sz w:val="22"/>
        </w:rPr>
        <w:t>kota</w:t>
      </w:r>
      <w:r>
        <w:rPr>
          <w:b/>
          <w:spacing w:val="-6"/>
          <w:sz w:val="22"/>
        </w:rPr>
        <w:t> </w:t>
      </w:r>
      <w:r>
        <w:rPr>
          <w:b/>
          <w:sz w:val="22"/>
        </w:rPr>
        <w:t>provinsi Jawa Barat 2019-2021</w:t>
      </w:r>
    </w:p>
    <w:p>
      <w:pPr>
        <w:pStyle w:val="BodyText"/>
        <w:spacing w:before="12"/>
        <w:rPr>
          <w:b/>
          <w:sz w:val="4"/>
        </w:rPr>
      </w:pPr>
    </w:p>
    <w:tbl>
      <w:tblPr>
        <w:tblW w:w="0" w:type="auto"/>
        <w:jc w:val="left"/>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2"/>
        <w:gridCol w:w="1196"/>
        <w:gridCol w:w="1517"/>
        <w:gridCol w:w="3049"/>
      </w:tblGrid>
      <w:tr>
        <w:trPr>
          <w:trHeight w:val="268" w:hRule="atLeast"/>
        </w:trPr>
        <w:tc>
          <w:tcPr>
            <w:tcW w:w="1532" w:type="dxa"/>
          </w:tcPr>
          <w:p>
            <w:pPr>
              <w:pStyle w:val="TableParagraph"/>
              <w:spacing w:line="247" w:lineRule="exact" w:before="1"/>
              <w:ind w:left="4" w:right="3"/>
              <w:jc w:val="center"/>
              <w:rPr>
                <w:b/>
                <w:sz w:val="22"/>
              </w:rPr>
            </w:pPr>
            <w:r>
              <w:rPr>
                <w:b/>
                <w:spacing w:val="-2"/>
                <w:sz w:val="22"/>
              </w:rPr>
              <w:t>Tahun</w:t>
            </w:r>
          </w:p>
        </w:tc>
        <w:tc>
          <w:tcPr>
            <w:tcW w:w="1196" w:type="dxa"/>
          </w:tcPr>
          <w:p>
            <w:pPr>
              <w:pStyle w:val="TableParagraph"/>
              <w:spacing w:line="247" w:lineRule="exact" w:before="1"/>
              <w:ind w:left="143"/>
              <w:rPr>
                <w:b/>
                <w:sz w:val="22"/>
              </w:rPr>
            </w:pPr>
            <w:r>
              <w:rPr>
                <w:b/>
                <w:sz w:val="22"/>
              </w:rPr>
              <w:t>Total</w:t>
            </w:r>
            <w:r>
              <w:rPr>
                <w:b/>
                <w:spacing w:val="-3"/>
                <w:sz w:val="22"/>
              </w:rPr>
              <w:t> </w:t>
            </w:r>
            <w:r>
              <w:rPr>
                <w:b/>
                <w:spacing w:val="-5"/>
                <w:sz w:val="22"/>
              </w:rPr>
              <w:t>PAD</w:t>
            </w:r>
          </w:p>
        </w:tc>
        <w:tc>
          <w:tcPr>
            <w:tcW w:w="1517" w:type="dxa"/>
          </w:tcPr>
          <w:p>
            <w:pPr>
              <w:pStyle w:val="TableParagraph"/>
              <w:spacing w:line="247" w:lineRule="exact" w:before="1"/>
              <w:ind w:left="368"/>
              <w:rPr>
                <w:b/>
                <w:sz w:val="22"/>
              </w:rPr>
            </w:pPr>
            <w:r>
              <w:rPr>
                <w:b/>
                <w:sz w:val="22"/>
              </w:rPr>
              <w:t>Total</w:t>
            </w:r>
            <w:r>
              <w:rPr>
                <w:b/>
                <w:spacing w:val="-3"/>
                <w:sz w:val="22"/>
              </w:rPr>
              <w:t> </w:t>
            </w:r>
            <w:r>
              <w:rPr>
                <w:b/>
                <w:spacing w:val="-5"/>
                <w:sz w:val="22"/>
              </w:rPr>
              <w:t>PD</w:t>
            </w:r>
          </w:p>
        </w:tc>
        <w:tc>
          <w:tcPr>
            <w:tcW w:w="3049" w:type="dxa"/>
          </w:tcPr>
          <w:p>
            <w:pPr>
              <w:pStyle w:val="TableParagraph"/>
              <w:spacing w:line="247" w:lineRule="exact" w:before="1"/>
              <w:ind w:left="3"/>
              <w:jc w:val="center"/>
              <w:rPr>
                <w:b/>
                <w:sz w:val="22"/>
              </w:rPr>
            </w:pPr>
            <w:r>
              <w:rPr>
                <w:b/>
                <w:sz w:val="22"/>
              </w:rPr>
              <w:t>Rasio</w:t>
            </w:r>
            <w:r>
              <w:rPr>
                <w:b/>
                <w:spacing w:val="-6"/>
                <w:sz w:val="22"/>
              </w:rPr>
              <w:t> </w:t>
            </w:r>
            <w:r>
              <w:rPr>
                <w:b/>
                <w:sz w:val="22"/>
              </w:rPr>
              <w:t>Kemandirian</w:t>
            </w:r>
            <w:r>
              <w:rPr>
                <w:b/>
                <w:spacing w:val="-6"/>
                <w:sz w:val="22"/>
              </w:rPr>
              <w:t> </w:t>
            </w:r>
            <w:r>
              <w:rPr>
                <w:b/>
                <w:spacing w:val="-10"/>
                <w:sz w:val="22"/>
              </w:rPr>
              <w:t>%</w:t>
            </w:r>
          </w:p>
        </w:tc>
      </w:tr>
      <w:tr>
        <w:trPr>
          <w:trHeight w:val="537" w:hRule="atLeast"/>
        </w:trPr>
        <w:tc>
          <w:tcPr>
            <w:tcW w:w="1532" w:type="dxa"/>
          </w:tcPr>
          <w:p>
            <w:pPr>
              <w:pStyle w:val="TableParagraph"/>
              <w:spacing w:before="136"/>
              <w:ind w:left="1" w:right="4"/>
              <w:jc w:val="center"/>
              <w:rPr>
                <w:sz w:val="22"/>
              </w:rPr>
            </w:pPr>
            <w:r>
              <w:rPr>
                <w:spacing w:val="-4"/>
                <w:sz w:val="22"/>
              </w:rPr>
              <w:t>2019</w:t>
            </w:r>
          </w:p>
        </w:tc>
        <w:tc>
          <w:tcPr>
            <w:tcW w:w="1196" w:type="dxa"/>
          </w:tcPr>
          <w:p>
            <w:pPr>
              <w:pStyle w:val="TableParagraph"/>
              <w:spacing w:before="1"/>
              <w:ind w:left="4" w:right="4"/>
              <w:jc w:val="center"/>
              <w:rPr>
                <w:sz w:val="22"/>
              </w:rPr>
            </w:pPr>
            <w:r>
              <w:rPr>
                <w:spacing w:val="-2"/>
                <w:sz w:val="22"/>
              </w:rPr>
              <w:t>44.150.00</w:t>
            </w:r>
          </w:p>
          <w:p>
            <w:pPr>
              <w:pStyle w:val="TableParagraph"/>
              <w:spacing w:line="247" w:lineRule="exact"/>
              <w:ind w:left="4"/>
              <w:jc w:val="center"/>
              <w:rPr>
                <w:sz w:val="22"/>
              </w:rPr>
            </w:pPr>
            <w:r>
              <w:rPr>
                <w:spacing w:val="-2"/>
                <w:sz w:val="22"/>
              </w:rPr>
              <w:t>0.000</w:t>
            </w:r>
          </w:p>
        </w:tc>
        <w:tc>
          <w:tcPr>
            <w:tcW w:w="1517" w:type="dxa"/>
          </w:tcPr>
          <w:p>
            <w:pPr>
              <w:pStyle w:val="TableParagraph"/>
              <w:spacing w:before="1"/>
              <w:jc w:val="center"/>
              <w:rPr>
                <w:sz w:val="22"/>
              </w:rPr>
            </w:pPr>
            <w:r>
              <w:rPr>
                <w:spacing w:val="-2"/>
                <w:sz w:val="22"/>
              </w:rPr>
              <w:t>121.911.000.0</w:t>
            </w:r>
          </w:p>
          <w:p>
            <w:pPr>
              <w:pStyle w:val="TableParagraph"/>
              <w:spacing w:line="247" w:lineRule="exact"/>
              <w:jc w:val="center"/>
              <w:rPr>
                <w:sz w:val="22"/>
              </w:rPr>
            </w:pPr>
            <w:r>
              <w:rPr>
                <w:spacing w:val="-5"/>
                <w:sz w:val="22"/>
              </w:rPr>
              <w:t>00</w:t>
            </w:r>
          </w:p>
        </w:tc>
        <w:tc>
          <w:tcPr>
            <w:tcW w:w="3049" w:type="dxa"/>
          </w:tcPr>
          <w:p>
            <w:pPr>
              <w:pStyle w:val="TableParagraph"/>
              <w:spacing w:before="136"/>
              <w:ind w:left="3" w:right="3"/>
              <w:jc w:val="center"/>
              <w:rPr>
                <w:sz w:val="22"/>
              </w:rPr>
            </w:pPr>
            <w:r>
              <w:rPr>
                <w:spacing w:val="-2"/>
                <w:sz w:val="22"/>
              </w:rPr>
              <w:t>36,21</w:t>
            </w:r>
          </w:p>
        </w:tc>
      </w:tr>
      <w:tr>
        <w:trPr>
          <w:trHeight w:val="537" w:hRule="atLeast"/>
        </w:trPr>
        <w:tc>
          <w:tcPr>
            <w:tcW w:w="1532" w:type="dxa"/>
          </w:tcPr>
          <w:p>
            <w:pPr>
              <w:pStyle w:val="TableParagraph"/>
              <w:spacing w:before="136"/>
              <w:ind w:left="1" w:right="4"/>
              <w:jc w:val="center"/>
              <w:rPr>
                <w:sz w:val="22"/>
              </w:rPr>
            </w:pPr>
            <w:r>
              <w:rPr>
                <w:spacing w:val="-4"/>
                <w:sz w:val="22"/>
              </w:rPr>
              <w:t>2020</w:t>
            </w:r>
          </w:p>
        </w:tc>
        <w:tc>
          <w:tcPr>
            <w:tcW w:w="1196" w:type="dxa"/>
          </w:tcPr>
          <w:p>
            <w:pPr>
              <w:pStyle w:val="TableParagraph"/>
              <w:spacing w:before="1"/>
              <w:ind w:left="4" w:right="4"/>
              <w:jc w:val="center"/>
              <w:rPr>
                <w:sz w:val="22"/>
              </w:rPr>
            </w:pPr>
            <w:r>
              <w:rPr>
                <w:spacing w:val="-2"/>
                <w:sz w:val="22"/>
              </w:rPr>
              <w:t>39.915.00</w:t>
            </w:r>
          </w:p>
          <w:p>
            <w:pPr>
              <w:pStyle w:val="TableParagraph"/>
              <w:spacing w:line="247" w:lineRule="exact"/>
              <w:ind w:left="4"/>
              <w:jc w:val="center"/>
              <w:rPr>
                <w:sz w:val="22"/>
              </w:rPr>
            </w:pPr>
            <w:r>
              <w:rPr>
                <w:spacing w:val="-2"/>
                <w:sz w:val="22"/>
              </w:rPr>
              <w:t>0.000</w:t>
            </w:r>
          </w:p>
        </w:tc>
        <w:tc>
          <w:tcPr>
            <w:tcW w:w="1517" w:type="dxa"/>
          </w:tcPr>
          <w:p>
            <w:pPr>
              <w:pStyle w:val="TableParagraph"/>
              <w:spacing w:before="1"/>
              <w:jc w:val="center"/>
              <w:rPr>
                <w:sz w:val="22"/>
              </w:rPr>
            </w:pPr>
            <w:r>
              <w:rPr>
                <w:spacing w:val="-2"/>
                <w:sz w:val="22"/>
              </w:rPr>
              <w:t>132.143.000.0</w:t>
            </w:r>
          </w:p>
          <w:p>
            <w:pPr>
              <w:pStyle w:val="TableParagraph"/>
              <w:spacing w:line="247" w:lineRule="exact"/>
              <w:jc w:val="center"/>
              <w:rPr>
                <w:sz w:val="22"/>
              </w:rPr>
            </w:pPr>
            <w:r>
              <w:rPr>
                <w:spacing w:val="-5"/>
                <w:sz w:val="22"/>
              </w:rPr>
              <w:t>00</w:t>
            </w:r>
          </w:p>
        </w:tc>
        <w:tc>
          <w:tcPr>
            <w:tcW w:w="3049" w:type="dxa"/>
          </w:tcPr>
          <w:p>
            <w:pPr>
              <w:pStyle w:val="TableParagraph"/>
              <w:spacing w:before="136"/>
              <w:ind w:left="3" w:right="3"/>
              <w:jc w:val="center"/>
              <w:rPr>
                <w:sz w:val="22"/>
              </w:rPr>
            </w:pPr>
            <w:r>
              <w:rPr>
                <w:spacing w:val="-2"/>
                <w:sz w:val="22"/>
              </w:rPr>
              <w:t>30,21</w:t>
            </w:r>
          </w:p>
        </w:tc>
      </w:tr>
      <w:tr>
        <w:trPr>
          <w:trHeight w:val="537" w:hRule="atLeast"/>
        </w:trPr>
        <w:tc>
          <w:tcPr>
            <w:tcW w:w="1532" w:type="dxa"/>
          </w:tcPr>
          <w:p>
            <w:pPr>
              <w:pStyle w:val="TableParagraph"/>
              <w:spacing w:before="136"/>
              <w:ind w:left="1" w:right="4"/>
              <w:jc w:val="center"/>
              <w:rPr>
                <w:sz w:val="22"/>
              </w:rPr>
            </w:pPr>
            <w:r>
              <w:rPr>
                <w:spacing w:val="-4"/>
                <w:sz w:val="22"/>
              </w:rPr>
              <w:t>2021</w:t>
            </w:r>
          </w:p>
        </w:tc>
        <w:tc>
          <w:tcPr>
            <w:tcW w:w="1196" w:type="dxa"/>
          </w:tcPr>
          <w:p>
            <w:pPr>
              <w:pStyle w:val="TableParagraph"/>
              <w:spacing w:before="1"/>
              <w:ind w:left="4" w:right="4"/>
              <w:jc w:val="center"/>
              <w:rPr>
                <w:sz w:val="22"/>
              </w:rPr>
            </w:pPr>
            <w:r>
              <w:rPr>
                <w:spacing w:val="-2"/>
                <w:sz w:val="22"/>
              </w:rPr>
              <w:t>41.792.00</w:t>
            </w:r>
          </w:p>
          <w:p>
            <w:pPr>
              <w:pStyle w:val="TableParagraph"/>
              <w:spacing w:line="247" w:lineRule="exact"/>
              <w:ind w:left="4"/>
              <w:jc w:val="center"/>
              <w:rPr>
                <w:sz w:val="22"/>
              </w:rPr>
            </w:pPr>
            <w:r>
              <w:rPr>
                <w:spacing w:val="-2"/>
                <w:sz w:val="22"/>
              </w:rPr>
              <w:t>0.000</w:t>
            </w:r>
          </w:p>
        </w:tc>
        <w:tc>
          <w:tcPr>
            <w:tcW w:w="1517" w:type="dxa"/>
          </w:tcPr>
          <w:p>
            <w:pPr>
              <w:pStyle w:val="TableParagraph"/>
              <w:spacing w:before="1"/>
              <w:jc w:val="center"/>
              <w:rPr>
                <w:sz w:val="22"/>
              </w:rPr>
            </w:pPr>
            <w:r>
              <w:rPr>
                <w:spacing w:val="-2"/>
                <w:sz w:val="22"/>
              </w:rPr>
              <w:t>128.149.000.0</w:t>
            </w:r>
          </w:p>
          <w:p>
            <w:pPr>
              <w:pStyle w:val="TableParagraph"/>
              <w:spacing w:line="247" w:lineRule="exact"/>
              <w:jc w:val="center"/>
              <w:rPr>
                <w:sz w:val="22"/>
              </w:rPr>
            </w:pPr>
            <w:r>
              <w:rPr>
                <w:spacing w:val="-5"/>
                <w:sz w:val="22"/>
              </w:rPr>
              <w:t>00</w:t>
            </w:r>
          </w:p>
        </w:tc>
        <w:tc>
          <w:tcPr>
            <w:tcW w:w="3049" w:type="dxa"/>
          </w:tcPr>
          <w:p>
            <w:pPr>
              <w:pStyle w:val="TableParagraph"/>
              <w:spacing w:before="136"/>
              <w:ind w:left="3" w:right="3"/>
              <w:jc w:val="center"/>
              <w:rPr>
                <w:sz w:val="22"/>
              </w:rPr>
            </w:pPr>
            <w:r>
              <w:rPr>
                <w:spacing w:val="-2"/>
                <w:sz w:val="22"/>
              </w:rPr>
              <w:t>32,61</w:t>
            </w:r>
          </w:p>
        </w:tc>
      </w:tr>
    </w:tbl>
    <w:p>
      <w:pPr>
        <w:pStyle w:val="BodyText"/>
        <w:spacing w:before="3"/>
        <w:ind w:left="119"/>
      </w:pPr>
      <w:r>
        <w:rPr/>
        <w:t>Sumber:</w:t>
      </w:r>
      <w:r>
        <w:rPr>
          <w:spacing w:val="-10"/>
        </w:rPr>
        <w:t> </w:t>
      </w:r>
      <w:r>
        <w:rPr/>
        <w:t>djpk</w:t>
      </w:r>
      <w:r>
        <w:rPr>
          <w:spacing w:val="-5"/>
        </w:rPr>
        <w:t> </w:t>
      </w:r>
      <w:r>
        <w:rPr/>
        <w:t>kemenkeu</w:t>
      </w:r>
      <w:r>
        <w:rPr>
          <w:spacing w:val="-6"/>
        </w:rPr>
        <w:t> </w:t>
      </w:r>
      <w:r>
        <w:rPr/>
        <w:t>(data</w:t>
      </w:r>
      <w:r>
        <w:rPr>
          <w:spacing w:val="-5"/>
        </w:rPr>
        <w:t> </w:t>
      </w:r>
      <w:r>
        <w:rPr/>
        <w:t>diolah</w:t>
      </w:r>
      <w:r>
        <w:rPr>
          <w:spacing w:val="-6"/>
        </w:rPr>
        <w:t> </w:t>
      </w:r>
      <w:r>
        <w:rPr>
          <w:spacing w:val="-2"/>
        </w:rPr>
        <w:t>2022)</w:t>
      </w:r>
    </w:p>
    <w:p>
      <w:pPr>
        <w:pStyle w:val="BodyText"/>
        <w:spacing w:before="1"/>
      </w:pPr>
    </w:p>
    <w:p>
      <w:pPr>
        <w:pStyle w:val="BodyText"/>
        <w:ind w:left="119" w:right="113" w:firstLine="706"/>
        <w:jc w:val="both"/>
      </w:pPr>
      <w:r>
        <w:rPr/>
        <w:t>Berdasarkan tabel di atas PAD berkontribusi terhadap realisasi penerimaan anggaran semua</w:t>
      </w:r>
      <w:r>
        <w:rPr>
          <w:spacing w:val="-9"/>
        </w:rPr>
        <w:t> </w:t>
      </w:r>
      <w:r>
        <w:rPr/>
        <w:t>kabupaten</w:t>
      </w:r>
      <w:r>
        <w:rPr>
          <w:spacing w:val="-9"/>
        </w:rPr>
        <w:t> </w:t>
      </w:r>
      <w:r>
        <w:rPr/>
        <w:t>/kota</w:t>
      </w:r>
      <w:r>
        <w:rPr>
          <w:spacing w:val="-9"/>
        </w:rPr>
        <w:t> </w:t>
      </w:r>
      <w:r>
        <w:rPr/>
        <w:t>Jawa</w:t>
      </w:r>
      <w:r>
        <w:rPr>
          <w:spacing w:val="-9"/>
        </w:rPr>
        <w:t> </w:t>
      </w:r>
      <w:r>
        <w:rPr/>
        <w:t>Barat</w:t>
      </w:r>
      <w:r>
        <w:rPr>
          <w:spacing w:val="-12"/>
        </w:rPr>
        <w:t> </w:t>
      </w:r>
      <w:r>
        <w:rPr/>
        <w:t>mengalami</w:t>
      </w:r>
      <w:r>
        <w:rPr>
          <w:spacing w:val="-7"/>
        </w:rPr>
        <w:t> </w:t>
      </w:r>
      <w:r>
        <w:rPr/>
        <w:t>kenaikan</w:t>
      </w:r>
      <w:r>
        <w:rPr>
          <w:spacing w:val="-10"/>
        </w:rPr>
        <w:t> </w:t>
      </w:r>
      <w:r>
        <w:rPr/>
        <w:t>di</w:t>
      </w:r>
      <w:r>
        <w:rPr>
          <w:spacing w:val="-7"/>
        </w:rPr>
        <w:t> </w:t>
      </w:r>
      <w:r>
        <w:rPr/>
        <w:t>tahun</w:t>
      </w:r>
      <w:r>
        <w:rPr>
          <w:spacing w:val="-10"/>
        </w:rPr>
        <w:t> </w:t>
      </w:r>
      <w:r>
        <w:rPr/>
        <w:t>2019</w:t>
      </w:r>
      <w:r>
        <w:rPr>
          <w:spacing w:val="-6"/>
        </w:rPr>
        <w:t> </w:t>
      </w:r>
      <w:r>
        <w:rPr/>
        <w:t>-</w:t>
      </w:r>
      <w:r>
        <w:rPr>
          <w:spacing w:val="-9"/>
        </w:rPr>
        <w:t> </w:t>
      </w:r>
      <w:r>
        <w:rPr/>
        <w:t>2021.</w:t>
      </w:r>
      <w:r>
        <w:rPr>
          <w:spacing w:val="33"/>
        </w:rPr>
        <w:t> </w:t>
      </w:r>
      <w:r>
        <w:rPr/>
        <w:t>Pada</w:t>
      </w:r>
      <w:r>
        <w:rPr>
          <w:spacing w:val="-9"/>
        </w:rPr>
        <w:t> </w:t>
      </w:r>
      <w:r>
        <w:rPr/>
        <w:t>tahun</w:t>
      </w:r>
      <w:r>
        <w:rPr>
          <w:spacing w:val="-10"/>
        </w:rPr>
        <w:t> </w:t>
      </w:r>
      <w:r>
        <w:rPr/>
        <w:t>2019 kontribusi yang diberikan sebesar 36,21 ini menurun di tahun 2020 yang terjadi ketika masa pandemi</w:t>
      </w:r>
      <w:r>
        <w:rPr>
          <w:spacing w:val="-13"/>
        </w:rPr>
        <w:t> </w:t>
      </w:r>
      <w:r>
        <w:rPr/>
        <w:t>covid</w:t>
      </w:r>
      <w:r>
        <w:rPr>
          <w:spacing w:val="-12"/>
        </w:rPr>
        <w:t> </w:t>
      </w:r>
      <w:r>
        <w:rPr/>
        <w:t>19.</w:t>
      </w:r>
      <w:r>
        <w:rPr>
          <w:spacing w:val="-10"/>
        </w:rPr>
        <w:t> </w:t>
      </w:r>
      <w:r>
        <w:rPr/>
        <w:t>Kemudian</w:t>
      </w:r>
      <w:r>
        <w:rPr>
          <w:spacing w:val="-13"/>
        </w:rPr>
        <w:t> </w:t>
      </w:r>
      <w:r>
        <w:rPr/>
        <w:t>kontribusi</w:t>
      </w:r>
      <w:r>
        <w:rPr>
          <w:spacing w:val="-10"/>
        </w:rPr>
        <w:t> </w:t>
      </w:r>
      <w:r>
        <w:rPr/>
        <w:t>meningkat</w:t>
      </w:r>
      <w:r>
        <w:rPr>
          <w:spacing w:val="-13"/>
        </w:rPr>
        <w:t> </w:t>
      </w:r>
      <w:r>
        <w:rPr/>
        <w:t>kembali</w:t>
      </w:r>
      <w:r>
        <w:rPr>
          <w:spacing w:val="-10"/>
        </w:rPr>
        <w:t> </w:t>
      </w:r>
      <w:r>
        <w:rPr/>
        <w:t>di</w:t>
      </w:r>
      <w:r>
        <w:rPr>
          <w:spacing w:val="-10"/>
        </w:rPr>
        <w:t> </w:t>
      </w:r>
      <w:r>
        <w:rPr/>
        <w:t>tahun</w:t>
      </w:r>
      <w:r>
        <w:rPr>
          <w:spacing w:val="-13"/>
        </w:rPr>
        <w:t> </w:t>
      </w:r>
      <w:r>
        <w:rPr/>
        <w:t>2021</w:t>
      </w:r>
      <w:r>
        <w:rPr>
          <w:spacing w:val="-9"/>
        </w:rPr>
        <w:t> </w:t>
      </w:r>
      <w:r>
        <w:rPr/>
        <w:t>menjadi</w:t>
      </w:r>
      <w:r>
        <w:rPr>
          <w:spacing w:val="-10"/>
        </w:rPr>
        <w:t> </w:t>
      </w:r>
      <w:r>
        <w:rPr/>
        <w:t>32,61.</w:t>
      </w:r>
      <w:r>
        <w:rPr>
          <w:spacing w:val="-10"/>
        </w:rPr>
        <w:t> </w:t>
      </w:r>
      <w:r>
        <w:rPr/>
        <w:t>Secara keseluruhan</w:t>
      </w:r>
      <w:r>
        <w:rPr>
          <w:spacing w:val="-13"/>
        </w:rPr>
        <w:t> </w:t>
      </w:r>
      <w:r>
        <w:rPr/>
        <w:t>realisasi</w:t>
      </w:r>
      <w:r>
        <w:rPr>
          <w:spacing w:val="-11"/>
        </w:rPr>
        <w:t> </w:t>
      </w:r>
      <w:r>
        <w:rPr/>
        <w:t>penerimaan</w:t>
      </w:r>
      <w:r>
        <w:rPr>
          <w:spacing w:val="-13"/>
        </w:rPr>
        <w:t> </w:t>
      </w:r>
      <w:r>
        <w:rPr/>
        <w:t>seluruh</w:t>
      </w:r>
      <w:r>
        <w:rPr>
          <w:spacing w:val="-12"/>
        </w:rPr>
        <w:t> </w:t>
      </w:r>
      <w:r>
        <w:rPr/>
        <w:t>kbupaten/kota</w:t>
      </w:r>
      <w:r>
        <w:rPr>
          <w:spacing w:val="-12"/>
        </w:rPr>
        <w:t> </w:t>
      </w:r>
      <w:r>
        <w:rPr/>
        <w:t>di</w:t>
      </w:r>
      <w:r>
        <w:rPr>
          <w:spacing w:val="-10"/>
        </w:rPr>
        <w:t> </w:t>
      </w:r>
      <w:r>
        <w:rPr/>
        <w:t>jawa</w:t>
      </w:r>
      <w:r>
        <w:rPr>
          <w:spacing w:val="-7"/>
        </w:rPr>
        <w:t> </w:t>
      </w:r>
      <w:r>
        <w:rPr/>
        <w:t>barat</w:t>
      </w:r>
      <w:r>
        <w:rPr>
          <w:spacing w:val="-10"/>
        </w:rPr>
        <w:t> </w:t>
      </w:r>
      <w:r>
        <w:rPr/>
        <w:t>bahwa</w:t>
      </w:r>
      <w:r>
        <w:rPr>
          <w:spacing w:val="-11"/>
        </w:rPr>
        <w:t> </w:t>
      </w:r>
      <w:r>
        <w:rPr/>
        <w:t>porsi</w:t>
      </w:r>
      <w:r>
        <w:rPr>
          <w:spacing w:val="-10"/>
        </w:rPr>
        <w:t> </w:t>
      </w:r>
      <w:r>
        <w:rPr/>
        <w:t>penerimaan pendapatan asli daerah (PAD) stiap tahunnya mengalami kenaikan. Pada penyelenggaran pemerintahan dan pembangunan daerah seluruh daerah jawa barat masih lumayan tinggi hal ini bisa diklihat dari pendapatan dana perimbang terhadap total realisasi penerimaan seluruh daerah</w:t>
      </w:r>
      <w:r>
        <w:rPr>
          <w:spacing w:val="-1"/>
        </w:rPr>
        <w:t> </w:t>
      </w:r>
      <w:r>
        <w:rPr/>
        <w:t>Jawa Barat</w:t>
      </w:r>
      <w:r>
        <w:rPr>
          <w:spacing w:val="-2"/>
        </w:rPr>
        <w:t> </w:t>
      </w:r>
      <w:r>
        <w:rPr/>
        <w:t>dari tahun 2019 - 2021. Untuk meningkatkan kemandirian</w:t>
      </w:r>
      <w:r>
        <w:rPr>
          <w:spacing w:val="-1"/>
        </w:rPr>
        <w:t> </w:t>
      </w:r>
      <w:r>
        <w:rPr/>
        <w:t>keuangan</w:t>
      </w:r>
      <w:r>
        <w:rPr>
          <w:spacing w:val="-1"/>
        </w:rPr>
        <w:t> </w:t>
      </w:r>
      <w:r>
        <w:rPr/>
        <w:t>daerah</w:t>
      </w:r>
    </w:p>
    <w:p>
      <w:pPr>
        <w:spacing w:after="0"/>
        <w:jc w:val="both"/>
        <w:sectPr>
          <w:pgSz w:w="11910" w:h="16840"/>
          <w:pgMar w:header="891" w:footer="1118" w:top="1640" w:bottom="1300" w:left="1580" w:right="1580"/>
        </w:sectPr>
      </w:pPr>
    </w:p>
    <w:p>
      <w:pPr>
        <w:pStyle w:val="BodyText"/>
        <w:spacing w:before="46"/>
        <w:ind w:left="119" w:right="112"/>
        <w:jc w:val="both"/>
      </w:pPr>
      <w:r>
        <w:rPr/>
        <w:t>maka pemerintah dapat menambah PAD. Kesanggupan daerah dalam mendapatkan PAD menentukan pembangunan dan perkembangan daerah. Kontribusi PAD yang tinggi terhadap APBD</w:t>
      </w:r>
      <w:r>
        <w:rPr>
          <w:spacing w:val="-13"/>
        </w:rPr>
        <w:t> </w:t>
      </w:r>
      <w:r>
        <w:rPr/>
        <w:t>dapat</w:t>
      </w:r>
      <w:r>
        <w:rPr>
          <w:spacing w:val="-12"/>
        </w:rPr>
        <w:t> </w:t>
      </w:r>
      <w:r>
        <w:rPr/>
        <w:t>memperkecil</w:t>
      </w:r>
      <w:r>
        <w:rPr>
          <w:spacing w:val="-13"/>
        </w:rPr>
        <w:t> </w:t>
      </w:r>
      <w:r>
        <w:rPr/>
        <w:t>ketergantungan</w:t>
      </w:r>
      <w:r>
        <w:rPr>
          <w:spacing w:val="-12"/>
        </w:rPr>
        <w:t> </w:t>
      </w:r>
      <w:r>
        <w:rPr/>
        <w:t>pendanaan</w:t>
      </w:r>
      <w:r>
        <w:rPr>
          <w:spacing w:val="-13"/>
        </w:rPr>
        <w:t> </w:t>
      </w:r>
      <w:r>
        <w:rPr/>
        <w:t>daerah</w:t>
      </w:r>
      <w:r>
        <w:rPr>
          <w:spacing w:val="-12"/>
        </w:rPr>
        <w:t> </w:t>
      </w:r>
      <w:r>
        <w:rPr/>
        <w:t>dari</w:t>
      </w:r>
      <w:r>
        <w:rPr>
          <w:spacing w:val="-13"/>
        </w:rPr>
        <w:t> </w:t>
      </w:r>
      <w:r>
        <w:rPr/>
        <w:t>APBN.</w:t>
      </w:r>
      <w:r>
        <w:rPr>
          <w:spacing w:val="-12"/>
        </w:rPr>
        <w:t> </w:t>
      </w:r>
      <w:r>
        <w:rPr/>
        <w:t>Studi</w:t>
      </w:r>
      <w:r>
        <w:rPr>
          <w:spacing w:val="-12"/>
        </w:rPr>
        <w:t> </w:t>
      </w:r>
      <w:r>
        <w:rPr/>
        <w:t>mengenai</w:t>
      </w:r>
      <w:r>
        <w:rPr>
          <w:spacing w:val="-10"/>
        </w:rPr>
        <w:t> </w:t>
      </w:r>
      <w:r>
        <w:rPr/>
        <w:t>tingkat kemandirian</w:t>
      </w:r>
      <w:r>
        <w:rPr>
          <w:spacing w:val="-12"/>
        </w:rPr>
        <w:t> </w:t>
      </w:r>
      <w:r>
        <w:rPr/>
        <w:t>keuangan</w:t>
      </w:r>
      <w:r>
        <w:rPr>
          <w:spacing w:val="-10"/>
        </w:rPr>
        <w:t> </w:t>
      </w:r>
      <w:r>
        <w:rPr/>
        <w:t>daerah</w:t>
      </w:r>
      <w:r>
        <w:rPr>
          <w:spacing w:val="-10"/>
        </w:rPr>
        <w:t> </w:t>
      </w:r>
      <w:r>
        <w:rPr/>
        <w:t>telah</w:t>
      </w:r>
      <w:r>
        <w:rPr>
          <w:spacing w:val="-10"/>
        </w:rPr>
        <w:t> </w:t>
      </w:r>
      <w:r>
        <w:rPr/>
        <w:t>banyak</w:t>
      </w:r>
      <w:r>
        <w:rPr>
          <w:spacing w:val="-9"/>
        </w:rPr>
        <w:t> </w:t>
      </w:r>
      <w:r>
        <w:rPr/>
        <w:t>di</w:t>
      </w:r>
      <w:r>
        <w:rPr>
          <w:spacing w:val="-7"/>
        </w:rPr>
        <w:t> </w:t>
      </w:r>
      <w:r>
        <w:rPr/>
        <w:t>lakukan</w:t>
      </w:r>
      <w:r>
        <w:rPr>
          <w:spacing w:val="-13"/>
        </w:rPr>
        <w:t> </w:t>
      </w:r>
      <w:r>
        <w:rPr/>
        <w:t>diantaranya,</w:t>
      </w:r>
      <w:r>
        <w:rPr>
          <w:spacing w:val="-10"/>
        </w:rPr>
        <w:t> </w:t>
      </w:r>
      <w:r>
        <w:rPr/>
        <w:t>menurut</w:t>
      </w:r>
      <w:r>
        <w:rPr>
          <w:spacing w:val="-4"/>
        </w:rPr>
        <w:t> </w:t>
      </w:r>
      <w:r>
        <w:rPr/>
        <w:t>(Siti</w:t>
      </w:r>
      <w:r>
        <w:rPr>
          <w:spacing w:val="-7"/>
        </w:rPr>
        <w:t> </w:t>
      </w:r>
      <w:r>
        <w:rPr/>
        <w:t>Khadijah</w:t>
      </w:r>
      <w:r>
        <w:rPr>
          <w:spacing w:val="-10"/>
        </w:rPr>
        <w:t> </w:t>
      </w:r>
      <w:r>
        <w:rPr/>
        <w:t>Mtd, Maryam Batubara, 2022) pada Kab/Kota di Sumatra Utara PAD mempengaruhi positif pada kemandirian keuangan daerah, menunjukan PAD yang meningkat akan disertai peningkatan kemandirian keuangannya. Sementara itu, Belanja Modal memiliki pengaruh negatif pada kemandirian keuangan daerah, yang mengindikasikan tingginya belanja modal dapat menurunkan kemandirian keuangan daerah.</w:t>
      </w:r>
    </w:p>
    <w:p>
      <w:pPr>
        <w:pStyle w:val="BodyText"/>
        <w:spacing w:before="3"/>
        <w:ind w:left="119" w:right="118" w:firstLine="706"/>
        <w:jc w:val="both"/>
      </w:pPr>
      <w:r>
        <w:rPr/>
        <w:t>Berdasarkan fenomena yang terjadi pada pemerintahan daerah Jawa Barat terkait dengan kemandirian keuangan daerah sebagaimana telah di uraikan di atas, serta berasarkan beberapa penelitian terdahulu, maka tujuan dari penelitian ini adalah untuk mengetahui dan menganalisis apakah pendapatan asli daerah</w:t>
      </w:r>
      <w:r>
        <w:rPr>
          <w:spacing w:val="40"/>
        </w:rPr>
        <w:t> </w:t>
      </w:r>
      <w:r>
        <w:rPr/>
        <w:t>dan belanja modal dapat mempengaruhi Tingkat kemandirian keuangan daerah di provinsi Jawa Barat.</w:t>
      </w:r>
    </w:p>
    <w:p>
      <w:pPr>
        <w:pStyle w:val="BodyText"/>
        <w:spacing w:before="170"/>
      </w:pPr>
    </w:p>
    <w:p>
      <w:pPr>
        <w:pStyle w:val="Heading1"/>
        <w:jc w:val="both"/>
      </w:pPr>
      <w:bookmarkStart w:name="METODE PENELITIAN" w:id="2"/>
      <w:bookmarkEnd w:id="2"/>
      <w:r>
        <w:rPr>
          <w:b w:val="0"/>
        </w:rPr>
      </w:r>
      <w:r>
        <w:rPr/>
        <w:t>METODE</w:t>
      </w:r>
      <w:r>
        <w:rPr>
          <w:spacing w:val="-8"/>
        </w:rPr>
        <w:t> </w:t>
      </w:r>
      <w:r>
        <w:rPr>
          <w:spacing w:val="-2"/>
        </w:rPr>
        <w:t>PENELITIAN</w:t>
      </w:r>
    </w:p>
    <w:p>
      <w:pPr>
        <w:pStyle w:val="Heading2"/>
        <w:jc w:val="both"/>
      </w:pPr>
      <w:r>
        <w:rPr/>
        <w:t>Populasi</w:t>
      </w:r>
      <w:r>
        <w:rPr>
          <w:spacing w:val="-5"/>
        </w:rPr>
        <w:t> </w:t>
      </w:r>
      <w:r>
        <w:rPr/>
        <w:t>dan</w:t>
      </w:r>
      <w:r>
        <w:rPr>
          <w:spacing w:val="-2"/>
        </w:rPr>
        <w:t> Sampel</w:t>
      </w:r>
    </w:p>
    <w:p>
      <w:pPr>
        <w:pStyle w:val="BodyText"/>
        <w:spacing w:before="1"/>
        <w:ind w:left="119" w:right="112"/>
        <w:jc w:val="both"/>
      </w:pPr>
      <w:r>
        <w:rPr/>
        <w:t>Populasi</w:t>
      </w:r>
      <w:r>
        <w:rPr>
          <w:spacing w:val="-8"/>
        </w:rPr>
        <w:t> </w:t>
      </w:r>
      <w:r>
        <w:rPr/>
        <w:t>penelitian</w:t>
      </w:r>
      <w:r>
        <w:rPr>
          <w:spacing w:val="-11"/>
        </w:rPr>
        <w:t> </w:t>
      </w:r>
      <w:r>
        <w:rPr/>
        <w:t>berupa</w:t>
      </w:r>
      <w:r>
        <w:rPr>
          <w:spacing w:val="-8"/>
        </w:rPr>
        <w:t> </w:t>
      </w:r>
      <w:r>
        <w:rPr/>
        <w:t>Data</w:t>
      </w:r>
      <w:r>
        <w:rPr>
          <w:spacing w:val="-10"/>
        </w:rPr>
        <w:t> </w:t>
      </w:r>
      <w:r>
        <w:rPr/>
        <w:t>Realisasi</w:t>
      </w:r>
      <w:r>
        <w:rPr>
          <w:spacing w:val="-8"/>
        </w:rPr>
        <w:t> </w:t>
      </w:r>
      <w:r>
        <w:rPr/>
        <w:t>APBD</w:t>
      </w:r>
      <w:r>
        <w:rPr>
          <w:spacing w:val="-12"/>
        </w:rPr>
        <w:t> </w:t>
      </w:r>
      <w:r>
        <w:rPr/>
        <w:t>Pemerintah</w:t>
      </w:r>
      <w:r>
        <w:rPr>
          <w:spacing w:val="-3"/>
        </w:rPr>
        <w:t> </w:t>
      </w:r>
      <w:r>
        <w:rPr/>
        <w:t>27</w:t>
      </w:r>
      <w:r>
        <w:rPr>
          <w:spacing w:val="-7"/>
        </w:rPr>
        <w:t> </w:t>
      </w:r>
      <w:r>
        <w:rPr/>
        <w:t>Kabupaten/Kota</w:t>
      </w:r>
      <w:r>
        <w:rPr>
          <w:spacing w:val="-6"/>
        </w:rPr>
        <w:t> </w:t>
      </w:r>
      <w:r>
        <w:rPr/>
        <w:t>di</w:t>
      </w:r>
      <w:r>
        <w:rPr>
          <w:spacing w:val="-6"/>
        </w:rPr>
        <w:t> </w:t>
      </w:r>
      <w:r>
        <w:rPr/>
        <w:t>Provinsi</w:t>
      </w:r>
      <w:r>
        <w:rPr>
          <w:spacing w:val="-8"/>
        </w:rPr>
        <w:t> </w:t>
      </w:r>
      <w:r>
        <w:rPr/>
        <w:t>Jawa </w:t>
      </w:r>
      <w:r>
        <w:rPr>
          <w:spacing w:val="-2"/>
        </w:rPr>
        <w:t>Barat</w:t>
      </w:r>
      <w:r>
        <w:rPr>
          <w:spacing w:val="-5"/>
        </w:rPr>
        <w:t> </w:t>
      </w:r>
      <w:r>
        <w:rPr>
          <w:spacing w:val="-2"/>
        </w:rPr>
        <w:t>tahun</w:t>
      </w:r>
      <w:r>
        <w:rPr>
          <w:spacing w:val="-3"/>
        </w:rPr>
        <w:t> </w:t>
      </w:r>
      <w:r>
        <w:rPr>
          <w:spacing w:val="-2"/>
        </w:rPr>
        <w:t>2019-2021. Teknik pengambilan</w:t>
      </w:r>
      <w:r>
        <w:rPr>
          <w:spacing w:val="-3"/>
        </w:rPr>
        <w:t> </w:t>
      </w:r>
      <w:r>
        <w:rPr>
          <w:spacing w:val="-2"/>
        </w:rPr>
        <w:t>sampel</w:t>
      </w:r>
      <w:r>
        <w:rPr>
          <w:spacing w:val="-5"/>
        </w:rPr>
        <w:t> </w:t>
      </w:r>
      <w:r>
        <w:rPr>
          <w:spacing w:val="-2"/>
        </w:rPr>
        <w:t>menggunakan</w:t>
      </w:r>
      <w:r>
        <w:rPr>
          <w:spacing w:val="-3"/>
        </w:rPr>
        <w:t> </w:t>
      </w:r>
      <w:r>
        <w:rPr>
          <w:spacing w:val="-2"/>
        </w:rPr>
        <w:t>teknik </w:t>
      </w:r>
      <w:r>
        <w:rPr>
          <w:i/>
          <w:spacing w:val="-2"/>
        </w:rPr>
        <w:t>sesnsus sampling</w:t>
      </w:r>
      <w:r>
        <w:rPr>
          <w:i/>
          <w:spacing w:val="-3"/>
        </w:rPr>
        <w:t> </w:t>
      </w:r>
      <w:r>
        <w:rPr>
          <w:spacing w:val="-2"/>
        </w:rPr>
        <w:t>yaitu </w:t>
      </w:r>
      <w:r>
        <w:rPr/>
        <w:t>teknik</w:t>
      </w:r>
      <w:r>
        <w:rPr>
          <w:spacing w:val="-13"/>
        </w:rPr>
        <w:t> </w:t>
      </w:r>
      <w:r>
        <w:rPr/>
        <w:t>guna</w:t>
      </w:r>
      <w:r>
        <w:rPr>
          <w:spacing w:val="-12"/>
        </w:rPr>
        <w:t> </w:t>
      </w:r>
      <w:r>
        <w:rPr/>
        <w:t>mengambil</w:t>
      </w:r>
      <w:r>
        <w:rPr>
          <w:spacing w:val="-13"/>
        </w:rPr>
        <w:t> </w:t>
      </w:r>
      <w:r>
        <w:rPr/>
        <w:t>sampel</w:t>
      </w:r>
      <w:r>
        <w:rPr>
          <w:spacing w:val="-12"/>
        </w:rPr>
        <w:t> </w:t>
      </w:r>
      <w:r>
        <w:rPr/>
        <w:t>jika</w:t>
      </w:r>
      <w:r>
        <w:rPr>
          <w:spacing w:val="-13"/>
        </w:rPr>
        <w:t> </w:t>
      </w:r>
      <w:r>
        <w:rPr/>
        <w:t>seluruh</w:t>
      </w:r>
      <w:r>
        <w:rPr>
          <w:spacing w:val="-12"/>
        </w:rPr>
        <w:t> </w:t>
      </w:r>
      <w:r>
        <w:rPr/>
        <w:t>anggota</w:t>
      </w:r>
      <w:r>
        <w:rPr>
          <w:spacing w:val="-13"/>
        </w:rPr>
        <w:t> </w:t>
      </w:r>
      <w:r>
        <w:rPr/>
        <w:t>populasi</w:t>
      </w:r>
      <w:r>
        <w:rPr>
          <w:spacing w:val="-12"/>
        </w:rPr>
        <w:t> </w:t>
      </w:r>
      <w:r>
        <w:rPr/>
        <w:t>digunakan</w:t>
      </w:r>
      <w:r>
        <w:rPr>
          <w:spacing w:val="-12"/>
        </w:rPr>
        <w:t> </w:t>
      </w:r>
      <w:r>
        <w:rPr/>
        <w:t>sebagai</w:t>
      </w:r>
      <w:r>
        <w:rPr>
          <w:spacing w:val="-13"/>
        </w:rPr>
        <w:t> </w:t>
      </w:r>
      <w:r>
        <w:rPr/>
        <w:t>sampel.</w:t>
      </w:r>
      <w:r>
        <w:rPr>
          <w:spacing w:val="-12"/>
        </w:rPr>
        <w:t> </w:t>
      </w:r>
      <w:r>
        <w:rPr/>
        <w:t>Adapun yang</w:t>
      </w:r>
      <w:r>
        <w:rPr>
          <w:spacing w:val="-10"/>
        </w:rPr>
        <w:t> </w:t>
      </w:r>
      <w:r>
        <w:rPr/>
        <w:t>diambil</w:t>
      </w:r>
      <w:r>
        <w:rPr>
          <w:spacing w:val="-8"/>
        </w:rPr>
        <w:t> </w:t>
      </w:r>
      <w:r>
        <w:rPr/>
        <w:t>adalah</w:t>
      </w:r>
      <w:r>
        <w:rPr>
          <w:spacing w:val="80"/>
        </w:rPr>
        <w:t> </w:t>
      </w:r>
      <w:r>
        <w:rPr/>
        <w:t>Pemerintah</w:t>
      </w:r>
      <w:r>
        <w:rPr>
          <w:spacing w:val="-5"/>
        </w:rPr>
        <w:t> </w:t>
      </w:r>
      <w:r>
        <w:rPr/>
        <w:t>daerah</w:t>
      </w:r>
      <w:r>
        <w:rPr>
          <w:spacing w:val="-10"/>
        </w:rPr>
        <w:t> </w:t>
      </w:r>
      <w:r>
        <w:rPr/>
        <w:t>Provinsi</w:t>
      </w:r>
      <w:r>
        <w:rPr>
          <w:spacing w:val="-8"/>
        </w:rPr>
        <w:t> </w:t>
      </w:r>
      <w:r>
        <w:rPr/>
        <w:t>Jawa</w:t>
      </w:r>
      <w:r>
        <w:rPr>
          <w:spacing w:val="-10"/>
        </w:rPr>
        <w:t> </w:t>
      </w:r>
      <w:r>
        <w:rPr/>
        <w:t>Barat</w:t>
      </w:r>
      <w:r>
        <w:rPr>
          <w:spacing w:val="-5"/>
        </w:rPr>
        <w:t> </w:t>
      </w:r>
      <w:r>
        <w:rPr/>
        <w:t>(</w:t>
      </w:r>
      <w:hyperlink r:id="rId8">
        <w:r>
          <w:rPr/>
          <w:t>www.djpk.kemenkeu.go.id.</w:t>
        </w:r>
      </w:hyperlink>
      <w:r>
        <w:rPr/>
        <w:t>)</w:t>
      </w:r>
      <w:r>
        <w:rPr>
          <w:spacing w:val="-13"/>
        </w:rPr>
        <w:t> </w:t>
      </w:r>
      <w:r>
        <w:rPr/>
        <w:t>yang meliputi kelengkapan data antara lain: data anggaran dan realisasi PAD, dan belanja modal.</w:t>
      </w:r>
    </w:p>
    <w:p>
      <w:pPr>
        <w:pStyle w:val="Heading2"/>
        <w:spacing w:before="265"/>
      </w:pPr>
      <w:r>
        <w:rPr/>
        <w:t>Operasional</w:t>
      </w:r>
      <w:r>
        <w:rPr>
          <w:spacing w:val="-8"/>
        </w:rPr>
        <w:t> </w:t>
      </w:r>
      <w:r>
        <w:rPr>
          <w:spacing w:val="-2"/>
        </w:rPr>
        <w:t>Variabel</w:t>
      </w:r>
    </w:p>
    <w:p>
      <w:pPr>
        <w:pStyle w:val="BodyText"/>
        <w:ind w:left="119"/>
      </w:pPr>
      <w:r>
        <w:rPr/>
        <w:t>Variabel</w:t>
      </w:r>
      <w:r>
        <w:rPr>
          <w:spacing w:val="-4"/>
        </w:rPr>
        <w:t> </w:t>
      </w:r>
      <w:r>
        <w:rPr/>
        <w:t>bebas</w:t>
      </w:r>
      <w:r>
        <w:rPr>
          <w:spacing w:val="-6"/>
        </w:rPr>
        <w:t> </w:t>
      </w:r>
      <w:r>
        <w:rPr/>
        <w:t>yakni</w:t>
      </w:r>
      <w:r>
        <w:rPr>
          <w:spacing w:val="-3"/>
        </w:rPr>
        <w:t> </w:t>
      </w:r>
      <w:r>
        <w:rPr/>
        <w:t>PAD</w:t>
      </w:r>
      <w:r>
        <w:rPr>
          <w:spacing w:val="-7"/>
        </w:rPr>
        <w:t> </w:t>
      </w:r>
      <w:r>
        <w:rPr/>
        <w:t>dan</w:t>
      </w:r>
      <w:r>
        <w:rPr>
          <w:spacing w:val="-5"/>
        </w:rPr>
        <w:t> </w:t>
      </w:r>
      <w:r>
        <w:rPr/>
        <w:t>Belanja</w:t>
      </w:r>
      <w:r>
        <w:rPr>
          <w:spacing w:val="-5"/>
        </w:rPr>
        <w:t> </w:t>
      </w:r>
      <w:r>
        <w:rPr/>
        <w:t>Modal</w:t>
      </w:r>
      <w:r>
        <w:rPr>
          <w:spacing w:val="-5"/>
        </w:rPr>
        <w:t> </w:t>
      </w:r>
      <w:r>
        <w:rPr/>
        <w:t>selama</w:t>
      </w:r>
      <w:r>
        <w:rPr>
          <w:spacing w:val="-5"/>
        </w:rPr>
        <w:t> </w:t>
      </w:r>
      <w:r>
        <w:rPr/>
        <w:t>tahun</w:t>
      </w:r>
      <w:r>
        <w:rPr>
          <w:spacing w:val="-5"/>
        </w:rPr>
        <w:t> </w:t>
      </w:r>
      <w:r>
        <w:rPr/>
        <w:t>2019-</w:t>
      </w:r>
      <w:r>
        <w:rPr>
          <w:spacing w:val="-2"/>
        </w:rPr>
        <w:t>2021.</w:t>
      </w:r>
    </w:p>
    <w:p>
      <w:pPr>
        <w:pStyle w:val="BodyText"/>
        <w:spacing w:before="1"/>
        <w:ind w:left="119"/>
      </w:pPr>
      <w:r>
        <w:rPr/>
        <w:t>Halim</w:t>
      </w:r>
      <w:r>
        <w:rPr>
          <w:spacing w:val="-1"/>
        </w:rPr>
        <w:t> </w:t>
      </w:r>
      <w:r>
        <w:rPr/>
        <w:t>dan</w:t>
      </w:r>
      <w:r>
        <w:rPr>
          <w:spacing w:val="-3"/>
        </w:rPr>
        <w:t> </w:t>
      </w:r>
      <w:r>
        <w:rPr/>
        <w:t>Kusufi</w:t>
      </w:r>
      <w:r>
        <w:rPr>
          <w:spacing w:val="-1"/>
        </w:rPr>
        <w:t> </w:t>
      </w:r>
      <w:r>
        <w:rPr/>
        <w:t>(2012) menyampaikan</w:t>
      </w:r>
      <w:r>
        <w:rPr>
          <w:spacing w:val="-3"/>
        </w:rPr>
        <w:t> </w:t>
      </w:r>
      <w:r>
        <w:rPr/>
        <w:t>bahwasanya</w:t>
      </w:r>
      <w:r>
        <w:rPr>
          <w:spacing w:val="-2"/>
        </w:rPr>
        <w:t> </w:t>
      </w:r>
      <w:r>
        <w:rPr/>
        <w:t>Pengukuran</w:t>
      </w:r>
      <w:r>
        <w:rPr>
          <w:spacing w:val="-3"/>
        </w:rPr>
        <w:t> </w:t>
      </w:r>
      <w:r>
        <w:rPr/>
        <w:t>Rasio</w:t>
      </w:r>
      <w:r>
        <w:rPr>
          <w:spacing w:val="-3"/>
        </w:rPr>
        <w:t> </w:t>
      </w:r>
      <w:r>
        <w:rPr/>
        <w:t>Efektivitas</w:t>
      </w:r>
      <w:r>
        <w:rPr>
          <w:spacing w:val="-2"/>
        </w:rPr>
        <w:t> </w:t>
      </w:r>
      <w:r>
        <w:rPr/>
        <w:t>PAD</w:t>
      </w:r>
      <w:r>
        <w:rPr>
          <w:spacing w:val="-4"/>
        </w:rPr>
        <w:t> </w:t>
      </w:r>
      <w:r>
        <w:rPr/>
        <w:t>dengan </w:t>
      </w:r>
      <w:r>
        <w:rPr>
          <w:spacing w:val="-2"/>
        </w:rPr>
        <w:t>rumus:</w:t>
      </w:r>
    </w:p>
    <w:p>
      <w:pPr>
        <w:pStyle w:val="BodyText"/>
        <w:spacing w:before="1"/>
        <w:ind w:left="167" w:right="3453" w:hanging="48"/>
      </w:pPr>
      <w:r>
        <w:rPr>
          <w:b/>
        </w:rPr>
        <w:t>Rasio</w:t>
      </w:r>
      <w:r>
        <w:rPr>
          <w:b/>
          <w:spacing w:val="-2"/>
        </w:rPr>
        <w:t> </w:t>
      </w:r>
      <w:r>
        <w:rPr>
          <w:b/>
        </w:rPr>
        <w:t>PAD</w:t>
      </w:r>
      <w:r>
        <w:rPr>
          <w:b/>
          <w:spacing w:val="-1"/>
        </w:rPr>
        <w:t> </w:t>
      </w:r>
      <w:r>
        <w:rPr/>
        <w:t>=</w:t>
      </w:r>
      <w:r>
        <w:rPr>
          <w:spacing w:val="-3"/>
        </w:rPr>
        <w:t> </w:t>
      </w:r>
      <w:r>
        <w:rPr/>
        <w:t>(Realisasi</w:t>
      </w:r>
      <w:r>
        <w:rPr>
          <w:spacing w:val="-1"/>
        </w:rPr>
        <w:t> </w:t>
      </w:r>
      <w:r>
        <w:rPr/>
        <w:t>PAD)</w:t>
      </w:r>
      <w:r>
        <w:rPr>
          <w:spacing w:val="-3"/>
        </w:rPr>
        <w:t> </w:t>
      </w:r>
      <w:r>
        <w:rPr/>
        <w:t>/</w:t>
      </w:r>
      <w:r>
        <w:rPr>
          <w:spacing w:val="-2"/>
        </w:rPr>
        <w:t> </w:t>
      </w:r>
      <w:r>
        <w:rPr/>
        <w:t>(Anggaran</w:t>
      </w:r>
      <w:r>
        <w:rPr>
          <w:spacing w:val="-5"/>
        </w:rPr>
        <w:t> </w:t>
      </w:r>
      <w:r>
        <w:rPr/>
        <w:t>PAD)</w:t>
      </w:r>
      <w:r>
        <w:rPr>
          <w:spacing w:val="-3"/>
        </w:rPr>
        <w:t> </w:t>
      </w:r>
      <w:r>
        <w:rPr/>
        <w:t>x100% untuk</w:t>
      </w:r>
      <w:r>
        <w:rPr>
          <w:spacing w:val="-8"/>
        </w:rPr>
        <w:t> </w:t>
      </w:r>
      <w:r>
        <w:rPr/>
        <w:t>pengukuran</w:t>
      </w:r>
      <w:r>
        <w:rPr>
          <w:spacing w:val="-6"/>
        </w:rPr>
        <w:t> </w:t>
      </w:r>
      <w:r>
        <w:rPr/>
        <w:t>Rasio</w:t>
      </w:r>
      <w:r>
        <w:rPr>
          <w:spacing w:val="-6"/>
        </w:rPr>
        <w:t> </w:t>
      </w:r>
      <w:r>
        <w:rPr/>
        <w:t>Belanja</w:t>
      </w:r>
      <w:r>
        <w:rPr>
          <w:spacing w:val="-5"/>
        </w:rPr>
        <w:t> </w:t>
      </w:r>
      <w:r>
        <w:rPr/>
        <w:t>Modal</w:t>
      </w:r>
      <w:r>
        <w:rPr>
          <w:spacing w:val="-5"/>
        </w:rPr>
        <w:t> </w:t>
      </w:r>
      <w:r>
        <w:rPr/>
        <w:t>(Eny,</w:t>
      </w:r>
      <w:r>
        <w:rPr>
          <w:spacing w:val="-3"/>
        </w:rPr>
        <w:t> </w:t>
      </w:r>
      <w:r>
        <w:rPr/>
        <w:t>2018)</w:t>
      </w:r>
      <w:r>
        <w:rPr>
          <w:spacing w:val="-1"/>
        </w:rPr>
        <w:t> </w:t>
      </w:r>
      <w:r>
        <w:rPr>
          <w:spacing w:val="-10"/>
        </w:rPr>
        <w:t>:</w:t>
      </w:r>
    </w:p>
    <w:p>
      <w:pPr>
        <w:spacing w:before="0"/>
        <w:ind w:left="119" w:right="0" w:firstLine="0"/>
        <w:jc w:val="left"/>
        <w:rPr>
          <w:sz w:val="22"/>
        </w:rPr>
      </w:pPr>
      <w:r>
        <w:rPr>
          <w:b/>
          <w:sz w:val="22"/>
        </w:rPr>
        <w:t>Rasio</w:t>
      </w:r>
      <w:r>
        <w:rPr>
          <w:b/>
          <w:spacing w:val="-6"/>
          <w:sz w:val="22"/>
        </w:rPr>
        <w:t> </w:t>
      </w:r>
      <w:r>
        <w:rPr>
          <w:b/>
          <w:sz w:val="22"/>
        </w:rPr>
        <w:t>Belanja</w:t>
      </w:r>
      <w:r>
        <w:rPr>
          <w:b/>
          <w:spacing w:val="-3"/>
          <w:sz w:val="22"/>
        </w:rPr>
        <w:t> </w:t>
      </w:r>
      <w:r>
        <w:rPr>
          <w:b/>
          <w:sz w:val="22"/>
        </w:rPr>
        <w:t>Modal</w:t>
      </w:r>
      <w:r>
        <w:rPr>
          <w:b/>
          <w:spacing w:val="-3"/>
          <w:sz w:val="22"/>
        </w:rPr>
        <w:t> </w:t>
      </w:r>
      <w:r>
        <w:rPr>
          <w:sz w:val="22"/>
        </w:rPr>
        <w:t>=</w:t>
      </w:r>
      <w:r>
        <w:rPr>
          <w:spacing w:val="-4"/>
          <w:sz w:val="22"/>
        </w:rPr>
        <w:t> </w:t>
      </w:r>
      <w:r>
        <w:rPr>
          <w:sz w:val="22"/>
        </w:rPr>
        <w:t>(Belanja</w:t>
      </w:r>
      <w:r>
        <w:rPr>
          <w:spacing w:val="-5"/>
          <w:sz w:val="22"/>
        </w:rPr>
        <w:t> </w:t>
      </w:r>
      <w:r>
        <w:rPr>
          <w:sz w:val="22"/>
        </w:rPr>
        <w:t>Modal)</w:t>
      </w:r>
      <w:r>
        <w:rPr>
          <w:spacing w:val="-4"/>
          <w:sz w:val="22"/>
        </w:rPr>
        <w:t> </w:t>
      </w:r>
      <w:r>
        <w:rPr>
          <w:sz w:val="22"/>
        </w:rPr>
        <w:t>/</w:t>
      </w:r>
      <w:r>
        <w:rPr>
          <w:spacing w:val="-4"/>
          <w:sz w:val="22"/>
        </w:rPr>
        <w:t> </w:t>
      </w:r>
      <w:r>
        <w:rPr>
          <w:sz w:val="22"/>
        </w:rPr>
        <w:t>(Total</w:t>
      </w:r>
      <w:r>
        <w:rPr>
          <w:spacing w:val="-3"/>
          <w:sz w:val="22"/>
        </w:rPr>
        <w:t> </w:t>
      </w:r>
      <w:r>
        <w:rPr>
          <w:sz w:val="22"/>
        </w:rPr>
        <w:t>belanja</w:t>
      </w:r>
      <w:r>
        <w:rPr>
          <w:spacing w:val="-9"/>
          <w:sz w:val="22"/>
        </w:rPr>
        <w:t> </w:t>
      </w:r>
      <w:r>
        <w:rPr>
          <w:sz w:val="22"/>
        </w:rPr>
        <w:t>daerah)</w:t>
      </w:r>
      <w:r>
        <w:rPr>
          <w:spacing w:val="-4"/>
          <w:sz w:val="22"/>
        </w:rPr>
        <w:t> </w:t>
      </w:r>
      <w:r>
        <w:rPr>
          <w:spacing w:val="-2"/>
          <w:sz w:val="22"/>
        </w:rPr>
        <w:t>x100%</w:t>
      </w:r>
    </w:p>
    <w:p>
      <w:pPr>
        <w:pStyle w:val="BodyText"/>
        <w:ind w:left="119"/>
      </w:pPr>
      <w:r>
        <w:rPr/>
        <w:t>Variabel</w:t>
      </w:r>
      <w:r>
        <w:rPr>
          <w:spacing w:val="37"/>
        </w:rPr>
        <w:t> </w:t>
      </w:r>
      <w:r>
        <w:rPr/>
        <w:t>terikat</w:t>
      </w:r>
      <w:r>
        <w:rPr>
          <w:spacing w:val="33"/>
        </w:rPr>
        <w:t> </w:t>
      </w:r>
      <w:r>
        <w:rPr/>
        <w:t>(dependent),</w:t>
      </w:r>
      <w:r>
        <w:rPr>
          <w:spacing w:val="33"/>
        </w:rPr>
        <w:t> </w:t>
      </w:r>
      <w:r>
        <w:rPr/>
        <w:t>yakni</w:t>
      </w:r>
      <w:r>
        <w:rPr>
          <w:spacing w:val="37"/>
        </w:rPr>
        <w:t> </w:t>
      </w:r>
      <w:r>
        <w:rPr/>
        <w:t>Kemandirian</w:t>
      </w:r>
      <w:r>
        <w:rPr>
          <w:spacing w:val="34"/>
        </w:rPr>
        <w:t> </w:t>
      </w:r>
      <w:r>
        <w:rPr/>
        <w:t>Keuangan</w:t>
      </w:r>
      <w:r>
        <w:rPr>
          <w:spacing w:val="34"/>
        </w:rPr>
        <w:t> </w:t>
      </w:r>
      <w:r>
        <w:rPr/>
        <w:t>Daerah.</w:t>
      </w:r>
      <w:r>
        <w:rPr>
          <w:spacing w:val="37"/>
        </w:rPr>
        <w:t> </w:t>
      </w:r>
      <w:r>
        <w:rPr/>
        <w:t>Adapun</w:t>
      </w:r>
      <w:r>
        <w:rPr>
          <w:spacing w:val="34"/>
        </w:rPr>
        <w:t> </w:t>
      </w:r>
      <w:r>
        <w:rPr/>
        <w:t>pengukurannya dengan rasio berikut:</w:t>
      </w:r>
    </w:p>
    <w:p>
      <w:pPr>
        <w:pStyle w:val="Heading2"/>
        <w:spacing w:before="1"/>
      </w:pPr>
      <w:r>
        <w:rPr/>
        <w:t>Rasio</w:t>
      </w:r>
      <w:r>
        <w:rPr>
          <w:spacing w:val="-6"/>
        </w:rPr>
        <w:t> </w:t>
      </w:r>
      <w:r>
        <w:rPr/>
        <w:t>Kemandirian</w:t>
      </w:r>
      <w:r>
        <w:rPr>
          <w:spacing w:val="-5"/>
        </w:rPr>
        <w:t> </w:t>
      </w:r>
      <w:r>
        <w:rPr/>
        <w:t>=</w:t>
      </w:r>
      <w:r>
        <w:rPr>
          <w:spacing w:val="-6"/>
        </w:rPr>
        <w:t> </w:t>
      </w:r>
      <w:r>
        <w:rPr/>
        <w:t>(</w:t>
      </w:r>
      <w:r>
        <w:rPr>
          <w:b w:val="0"/>
        </w:rPr>
        <w:t>PAD</w:t>
      </w:r>
      <w:r>
        <w:rPr/>
        <w:t>)/(Total</w:t>
      </w:r>
      <w:r>
        <w:rPr>
          <w:spacing w:val="-8"/>
        </w:rPr>
        <w:t> </w:t>
      </w:r>
      <w:r>
        <w:rPr/>
        <w:t>Pendapatan)</w:t>
      </w:r>
      <w:r>
        <w:rPr>
          <w:spacing w:val="-7"/>
        </w:rPr>
        <w:t> </w:t>
      </w:r>
      <w:r>
        <w:rPr>
          <w:spacing w:val="-4"/>
        </w:rPr>
        <w:t>x100%</w:t>
      </w:r>
    </w:p>
    <w:p>
      <w:pPr>
        <w:pStyle w:val="BodyText"/>
        <w:spacing w:before="1"/>
        <w:rPr>
          <w:b/>
        </w:rPr>
      </w:pPr>
    </w:p>
    <w:p>
      <w:pPr>
        <w:spacing w:before="0"/>
        <w:ind w:left="119" w:right="0" w:firstLine="0"/>
        <w:jc w:val="both"/>
        <w:rPr>
          <w:b/>
          <w:sz w:val="22"/>
        </w:rPr>
      </w:pPr>
      <w:r>
        <w:rPr>
          <w:b/>
          <w:sz w:val="22"/>
        </w:rPr>
        <w:t>Metode</w:t>
      </w:r>
      <w:r>
        <w:rPr>
          <w:b/>
          <w:spacing w:val="-9"/>
          <w:sz w:val="22"/>
        </w:rPr>
        <w:t> </w:t>
      </w:r>
      <w:r>
        <w:rPr>
          <w:b/>
          <w:sz w:val="22"/>
        </w:rPr>
        <w:t>Analisis</w:t>
      </w:r>
      <w:r>
        <w:rPr>
          <w:b/>
          <w:spacing w:val="-6"/>
          <w:sz w:val="22"/>
        </w:rPr>
        <w:t> </w:t>
      </w:r>
      <w:r>
        <w:rPr>
          <w:b/>
          <w:spacing w:val="-4"/>
          <w:sz w:val="22"/>
        </w:rPr>
        <w:t>Data</w:t>
      </w:r>
    </w:p>
    <w:p>
      <w:pPr>
        <w:pStyle w:val="BodyText"/>
        <w:spacing w:line="237" w:lineRule="auto" w:before="2"/>
        <w:ind w:left="119" w:right="115"/>
        <w:jc w:val="both"/>
      </w:pPr>
      <w:r>
        <w:rPr/>
        <w:t>Metode penelitiannya secara metode deskriptif - verifikatif yaitu regresi linier berganda data dan uji hipotesis. Pengolahan datanya melalui aplikasi SPSS versi 25.</w:t>
      </w:r>
      <w:r>
        <w:rPr>
          <w:spacing w:val="40"/>
        </w:rPr>
        <w:t> </w:t>
      </w:r>
      <w:r>
        <w:rPr/>
        <w:t>Tahapan pengujiannya meliputi: Uji Asumsi klasik, Analisis Regresi Linear Berganda, dan Kofesien determinasi dan Uji </w:t>
      </w:r>
      <w:r>
        <w:rPr>
          <w:spacing w:val="-2"/>
        </w:rPr>
        <w:t>hipotesis</w:t>
      </w:r>
    </w:p>
    <w:p>
      <w:pPr>
        <w:pStyle w:val="Heading1"/>
        <w:spacing w:before="236"/>
      </w:pPr>
      <w:bookmarkStart w:name="HASIL DAN PEMBAHASAN" w:id="3"/>
      <w:bookmarkEnd w:id="3"/>
      <w:r>
        <w:rPr>
          <w:b w:val="0"/>
        </w:rPr>
      </w:r>
      <w:r>
        <w:rPr/>
        <w:t>HASIL</w:t>
      </w:r>
      <w:r>
        <w:rPr>
          <w:spacing w:val="-5"/>
        </w:rPr>
        <w:t> </w:t>
      </w:r>
      <w:r>
        <w:rPr/>
        <w:t>DAN</w:t>
      </w:r>
      <w:r>
        <w:rPr>
          <w:spacing w:val="-4"/>
        </w:rPr>
        <w:t> </w:t>
      </w:r>
      <w:r>
        <w:rPr>
          <w:spacing w:val="-2"/>
        </w:rPr>
        <w:t>PEMBAHASAN</w:t>
      </w:r>
    </w:p>
    <w:p>
      <w:pPr>
        <w:pStyle w:val="Heading2"/>
        <w:jc w:val="both"/>
      </w:pPr>
      <w:r>
        <w:rPr/>
        <w:t>Analisis</w:t>
      </w:r>
      <w:r>
        <w:rPr>
          <w:spacing w:val="-10"/>
        </w:rPr>
        <w:t> </w:t>
      </w:r>
      <w:r>
        <w:rPr>
          <w:spacing w:val="-2"/>
        </w:rPr>
        <w:t>Deskriptif</w:t>
      </w:r>
    </w:p>
    <w:p>
      <w:pPr>
        <w:pStyle w:val="BodyText"/>
        <w:ind w:left="119" w:right="114" w:firstLine="614"/>
        <w:jc w:val="both"/>
      </w:pPr>
      <w:r>
        <w:rPr/>
        <w:t>Analisis statistik deskriptif dimaksudkan guna medeskripsi data berdasarkan nilai maksimum,</w:t>
      </w:r>
      <w:r>
        <w:rPr>
          <w:spacing w:val="-8"/>
        </w:rPr>
        <w:t> </w:t>
      </w:r>
      <w:r>
        <w:rPr/>
        <w:t>nilai</w:t>
      </w:r>
      <w:r>
        <w:rPr>
          <w:spacing w:val="-5"/>
        </w:rPr>
        <w:t> </w:t>
      </w:r>
      <w:r>
        <w:rPr/>
        <w:t>minimum,</w:t>
      </w:r>
      <w:r>
        <w:rPr>
          <w:spacing w:val="-4"/>
        </w:rPr>
        <w:t> </w:t>
      </w:r>
      <w:r>
        <w:rPr/>
        <w:t>nilai</w:t>
      </w:r>
      <w:r>
        <w:rPr>
          <w:spacing w:val="-5"/>
        </w:rPr>
        <w:t> </w:t>
      </w:r>
      <w:r>
        <w:rPr/>
        <w:t>rerata,</w:t>
      </w:r>
      <w:r>
        <w:rPr>
          <w:spacing w:val="-5"/>
        </w:rPr>
        <w:t> </w:t>
      </w:r>
      <w:r>
        <w:rPr/>
        <w:t>dan</w:t>
      </w:r>
      <w:r>
        <w:rPr>
          <w:spacing w:val="-3"/>
        </w:rPr>
        <w:t> </w:t>
      </w:r>
      <w:r>
        <w:rPr/>
        <w:t>nilai</w:t>
      </w:r>
      <w:r>
        <w:rPr>
          <w:spacing w:val="-5"/>
        </w:rPr>
        <w:t> </w:t>
      </w:r>
      <w:r>
        <w:rPr/>
        <w:t>standar</w:t>
      </w:r>
      <w:r>
        <w:rPr>
          <w:spacing w:val="-3"/>
        </w:rPr>
        <w:t> </w:t>
      </w:r>
      <w:r>
        <w:rPr/>
        <w:t>deviasi.</w:t>
      </w:r>
      <w:r>
        <w:rPr>
          <w:spacing w:val="-5"/>
        </w:rPr>
        <w:t> </w:t>
      </w:r>
      <w:r>
        <w:rPr/>
        <w:t>Analisis</w:t>
      </w:r>
      <w:r>
        <w:rPr>
          <w:spacing w:val="-3"/>
        </w:rPr>
        <w:t> </w:t>
      </w:r>
      <w:r>
        <w:rPr/>
        <w:t>ini</w:t>
      </w:r>
      <w:r>
        <w:rPr>
          <w:spacing w:val="-1"/>
        </w:rPr>
        <w:t> </w:t>
      </w:r>
      <w:r>
        <w:rPr/>
        <w:t>dilakukan</w:t>
      </w:r>
      <w:r>
        <w:rPr>
          <w:spacing w:val="-3"/>
        </w:rPr>
        <w:t> </w:t>
      </w:r>
      <w:r>
        <w:rPr/>
        <w:t>terhadap data PAD, Belanja Modal dan Tingkat Kemandirian daerah tahun 2019-2021. Hasil analisis ditunjukan pada tabel berikut:</w:t>
      </w:r>
    </w:p>
    <w:p>
      <w:pPr>
        <w:spacing w:after="0"/>
        <w:jc w:val="both"/>
        <w:sectPr>
          <w:pgSz w:w="11910" w:h="16840"/>
          <w:pgMar w:header="891" w:footer="1118" w:top="1640" w:bottom="1300" w:left="1580" w:right="1580"/>
        </w:sectPr>
      </w:pPr>
    </w:p>
    <w:p>
      <w:pPr>
        <w:pStyle w:val="BodyText"/>
        <w:spacing w:before="7"/>
      </w:pPr>
    </w:p>
    <w:p>
      <w:pPr>
        <w:spacing w:before="1"/>
        <w:ind w:left="117" w:right="118" w:firstLine="0"/>
        <w:jc w:val="center"/>
        <w:rPr>
          <w:b/>
          <w:sz w:val="22"/>
        </w:rPr>
      </w:pPr>
      <w:r>
        <w:rPr>
          <w:b/>
          <w:sz w:val="22"/>
        </w:rPr>
        <w:t>Tabel</w:t>
      </w:r>
      <w:r>
        <w:rPr>
          <w:b/>
          <w:spacing w:val="-11"/>
          <w:sz w:val="22"/>
        </w:rPr>
        <w:t> </w:t>
      </w:r>
      <w:r>
        <w:rPr>
          <w:b/>
          <w:spacing w:val="-10"/>
          <w:sz w:val="22"/>
        </w:rPr>
        <w:t>2</w:t>
      </w:r>
    </w:p>
    <w:p>
      <w:pPr>
        <w:spacing w:before="0"/>
        <w:ind w:left="1307" w:right="1318" w:firstLine="0"/>
        <w:jc w:val="center"/>
        <w:rPr>
          <w:b/>
          <w:sz w:val="22"/>
        </w:rPr>
      </w:pPr>
      <w:r>
        <w:rPr>
          <w:b/>
          <w:color w:val="000104"/>
          <w:sz w:val="22"/>
        </w:rPr>
        <w:t>Statistik</w:t>
      </w:r>
      <w:r>
        <w:rPr>
          <w:b/>
          <w:color w:val="000104"/>
          <w:spacing w:val="-7"/>
          <w:sz w:val="22"/>
        </w:rPr>
        <w:t> </w:t>
      </w:r>
      <w:r>
        <w:rPr>
          <w:b/>
          <w:color w:val="000104"/>
          <w:sz w:val="22"/>
        </w:rPr>
        <w:t>deskriptif</w:t>
      </w:r>
      <w:r>
        <w:rPr>
          <w:b/>
          <w:color w:val="000104"/>
          <w:spacing w:val="-4"/>
          <w:sz w:val="22"/>
        </w:rPr>
        <w:t> </w:t>
      </w:r>
      <w:r>
        <w:rPr>
          <w:b/>
          <w:color w:val="000104"/>
          <w:sz w:val="22"/>
        </w:rPr>
        <w:t>dari</w:t>
      </w:r>
      <w:r>
        <w:rPr>
          <w:b/>
          <w:color w:val="000104"/>
          <w:spacing w:val="-7"/>
          <w:sz w:val="22"/>
        </w:rPr>
        <w:t> </w:t>
      </w:r>
      <w:r>
        <w:rPr>
          <w:b/>
          <w:color w:val="000104"/>
          <w:sz w:val="22"/>
        </w:rPr>
        <w:t>PAD,</w:t>
      </w:r>
      <w:r>
        <w:rPr>
          <w:b/>
          <w:color w:val="000104"/>
          <w:spacing w:val="-6"/>
          <w:sz w:val="22"/>
        </w:rPr>
        <w:t> </w:t>
      </w:r>
      <w:r>
        <w:rPr>
          <w:b/>
          <w:color w:val="000104"/>
          <w:sz w:val="22"/>
        </w:rPr>
        <w:t>Belanja</w:t>
      </w:r>
      <w:r>
        <w:rPr>
          <w:b/>
          <w:color w:val="000104"/>
          <w:spacing w:val="-5"/>
          <w:sz w:val="22"/>
        </w:rPr>
        <w:t> </w:t>
      </w:r>
      <w:r>
        <w:rPr>
          <w:b/>
          <w:color w:val="000104"/>
          <w:sz w:val="22"/>
        </w:rPr>
        <w:t>Modal</w:t>
      </w:r>
      <w:r>
        <w:rPr>
          <w:b/>
          <w:color w:val="000104"/>
          <w:spacing w:val="-7"/>
          <w:sz w:val="22"/>
        </w:rPr>
        <w:t> </w:t>
      </w:r>
      <w:r>
        <w:rPr>
          <w:b/>
          <w:color w:val="000104"/>
          <w:sz w:val="22"/>
        </w:rPr>
        <w:t>dan</w:t>
      </w:r>
      <w:r>
        <w:rPr>
          <w:b/>
          <w:color w:val="000104"/>
          <w:spacing w:val="-5"/>
          <w:sz w:val="22"/>
        </w:rPr>
        <w:t> </w:t>
      </w:r>
      <w:r>
        <w:rPr>
          <w:b/>
          <w:color w:val="000104"/>
          <w:sz w:val="22"/>
        </w:rPr>
        <w:t>Tingkat </w:t>
      </w:r>
      <w:r>
        <w:rPr>
          <w:b/>
          <w:color w:val="000104"/>
          <w:spacing w:val="-2"/>
          <w:sz w:val="22"/>
        </w:rPr>
        <w:t>Kemandirian</w:t>
      </w:r>
    </w:p>
    <w:p>
      <w:pPr>
        <w:spacing w:before="1"/>
        <w:ind w:left="112" w:right="118" w:firstLine="0"/>
        <w:jc w:val="center"/>
        <w:rPr>
          <w:b/>
          <w:sz w:val="22"/>
        </w:rPr>
      </w:pPr>
      <w:r>
        <w:rPr>
          <w:b/>
          <w:color w:val="000104"/>
          <w:sz w:val="22"/>
        </w:rPr>
        <w:t>Keuangan</w:t>
      </w:r>
      <w:r>
        <w:rPr>
          <w:b/>
          <w:color w:val="000104"/>
          <w:spacing w:val="-3"/>
          <w:sz w:val="22"/>
        </w:rPr>
        <w:t> </w:t>
      </w:r>
      <w:r>
        <w:rPr>
          <w:b/>
          <w:color w:val="000104"/>
          <w:spacing w:val="-2"/>
          <w:sz w:val="22"/>
        </w:rPr>
        <w:t>Daerah</w:t>
      </w:r>
    </w:p>
    <w:tbl>
      <w:tblPr>
        <w:tblW w:w="0" w:type="auto"/>
        <w:jc w:val="left"/>
        <w:tblInd w:w="1414"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top w:w="0" w:type="dxa"/>
          <w:left w:w="0" w:type="dxa"/>
          <w:bottom w:w="0" w:type="dxa"/>
          <w:right w:w="0" w:type="dxa"/>
        </w:tblCellMar>
        <w:tblLook w:val="01E0"/>
      </w:tblPr>
      <w:tblGrid>
        <w:gridCol w:w="1729"/>
        <w:gridCol w:w="466"/>
        <w:gridCol w:w="783"/>
        <w:gridCol w:w="941"/>
        <w:gridCol w:w="941"/>
        <w:gridCol w:w="1066"/>
      </w:tblGrid>
      <w:tr>
        <w:trPr>
          <w:trHeight w:val="537" w:hRule="atLeast"/>
        </w:trPr>
        <w:tc>
          <w:tcPr>
            <w:tcW w:w="2195" w:type="dxa"/>
            <w:gridSpan w:val="2"/>
            <w:tcBorders>
              <w:top w:val="nil"/>
              <w:left w:val="nil"/>
              <w:right w:val="single" w:sz="8" w:space="0" w:color="DFDFDF"/>
            </w:tcBorders>
          </w:tcPr>
          <w:p>
            <w:pPr>
              <w:pStyle w:val="TableParagraph"/>
              <w:spacing w:line="257" w:lineRule="exact" w:before="259"/>
              <w:ind w:right="249"/>
              <w:jc w:val="right"/>
              <w:rPr>
                <w:sz w:val="22"/>
              </w:rPr>
            </w:pPr>
            <w:r>
              <w:rPr>
                <w:color w:val="25495F"/>
                <w:spacing w:val="-10"/>
                <w:sz w:val="22"/>
              </w:rPr>
              <w:t>N</w:t>
            </w:r>
          </w:p>
        </w:tc>
        <w:tc>
          <w:tcPr>
            <w:tcW w:w="783" w:type="dxa"/>
            <w:tcBorders>
              <w:top w:val="nil"/>
              <w:left w:val="single" w:sz="8" w:space="0" w:color="DFDFDF"/>
              <w:right w:val="single" w:sz="8" w:space="0" w:color="DFDFDF"/>
            </w:tcBorders>
          </w:tcPr>
          <w:p>
            <w:pPr>
              <w:pStyle w:val="TableParagraph"/>
              <w:spacing w:line="260" w:lineRule="exact"/>
              <w:ind w:left="61"/>
              <w:rPr>
                <w:sz w:val="22"/>
              </w:rPr>
            </w:pPr>
            <w:r>
              <w:rPr>
                <w:color w:val="25495F"/>
                <w:spacing w:val="-2"/>
                <w:sz w:val="22"/>
              </w:rPr>
              <w:t>Minim</w:t>
            </w:r>
          </w:p>
          <w:p>
            <w:pPr>
              <w:pStyle w:val="TableParagraph"/>
              <w:spacing w:line="257" w:lineRule="exact"/>
              <w:ind w:left="61"/>
              <w:rPr>
                <w:sz w:val="22"/>
              </w:rPr>
            </w:pPr>
            <w:r>
              <w:rPr>
                <w:color w:val="25495F"/>
                <w:spacing w:val="-5"/>
                <w:sz w:val="22"/>
              </w:rPr>
              <w:t>um</w:t>
            </w:r>
          </w:p>
        </w:tc>
        <w:tc>
          <w:tcPr>
            <w:tcW w:w="941" w:type="dxa"/>
            <w:tcBorders>
              <w:top w:val="nil"/>
              <w:left w:val="single" w:sz="8" w:space="0" w:color="DFDFDF"/>
              <w:right w:val="single" w:sz="8" w:space="0" w:color="DFDFDF"/>
            </w:tcBorders>
          </w:tcPr>
          <w:p>
            <w:pPr>
              <w:pStyle w:val="TableParagraph"/>
              <w:spacing w:line="260" w:lineRule="exact"/>
              <w:ind w:left="61"/>
              <w:rPr>
                <w:sz w:val="22"/>
              </w:rPr>
            </w:pPr>
            <w:r>
              <w:rPr>
                <w:color w:val="25495F"/>
                <w:spacing w:val="-2"/>
                <w:sz w:val="22"/>
              </w:rPr>
              <w:t>Maximu</w:t>
            </w:r>
          </w:p>
          <w:p>
            <w:pPr>
              <w:pStyle w:val="TableParagraph"/>
              <w:spacing w:line="257" w:lineRule="exact"/>
              <w:ind w:left="61"/>
              <w:rPr>
                <w:sz w:val="22"/>
              </w:rPr>
            </w:pPr>
            <w:r>
              <w:rPr>
                <w:color w:val="25495F"/>
                <w:spacing w:val="-10"/>
                <w:sz w:val="22"/>
              </w:rPr>
              <w:t>m</w:t>
            </w:r>
          </w:p>
        </w:tc>
        <w:tc>
          <w:tcPr>
            <w:tcW w:w="941" w:type="dxa"/>
            <w:tcBorders>
              <w:top w:val="nil"/>
              <w:left w:val="single" w:sz="8" w:space="0" w:color="DFDFDF"/>
              <w:right w:val="single" w:sz="8" w:space="0" w:color="DFDFDF"/>
            </w:tcBorders>
          </w:tcPr>
          <w:p>
            <w:pPr>
              <w:pStyle w:val="TableParagraph"/>
              <w:spacing w:line="257" w:lineRule="exact" w:before="259"/>
              <w:ind w:left="61"/>
              <w:rPr>
                <w:sz w:val="22"/>
              </w:rPr>
            </w:pPr>
            <w:r>
              <w:rPr>
                <w:color w:val="25495F"/>
                <w:spacing w:val="-4"/>
                <w:sz w:val="22"/>
              </w:rPr>
              <w:t>Mean</w:t>
            </w:r>
          </w:p>
        </w:tc>
        <w:tc>
          <w:tcPr>
            <w:tcW w:w="1066" w:type="dxa"/>
            <w:tcBorders>
              <w:top w:val="nil"/>
              <w:left w:val="single" w:sz="8" w:space="0" w:color="DFDFDF"/>
              <w:right w:val="nil"/>
            </w:tcBorders>
          </w:tcPr>
          <w:p>
            <w:pPr>
              <w:pStyle w:val="TableParagraph"/>
              <w:spacing w:line="260" w:lineRule="exact"/>
              <w:ind w:left="56"/>
              <w:rPr>
                <w:sz w:val="22"/>
              </w:rPr>
            </w:pPr>
            <w:r>
              <w:rPr>
                <w:color w:val="25495F"/>
                <w:spacing w:val="-4"/>
                <w:sz w:val="22"/>
              </w:rPr>
              <w:t>Std.</w:t>
            </w:r>
          </w:p>
          <w:p>
            <w:pPr>
              <w:pStyle w:val="TableParagraph"/>
              <w:spacing w:line="257" w:lineRule="exact"/>
              <w:ind w:left="56"/>
              <w:rPr>
                <w:sz w:val="22"/>
              </w:rPr>
            </w:pPr>
            <w:r>
              <w:rPr>
                <w:color w:val="25495F"/>
                <w:spacing w:val="-2"/>
                <w:sz w:val="22"/>
              </w:rPr>
              <w:t>Deviation</w:t>
            </w:r>
          </w:p>
        </w:tc>
      </w:tr>
      <w:tr>
        <w:trPr>
          <w:trHeight w:val="272" w:hRule="atLeast"/>
        </w:trPr>
        <w:tc>
          <w:tcPr>
            <w:tcW w:w="1729" w:type="dxa"/>
            <w:tcBorders>
              <w:left w:val="nil"/>
              <w:bottom w:val="single" w:sz="8" w:space="0" w:color="ADADAD"/>
              <w:right w:val="nil"/>
            </w:tcBorders>
            <w:shd w:val="clear" w:color="auto" w:fill="DFDFDF"/>
          </w:tcPr>
          <w:p>
            <w:pPr>
              <w:pStyle w:val="TableParagraph"/>
              <w:spacing w:line="253" w:lineRule="exact"/>
              <w:ind w:left="62"/>
              <w:rPr>
                <w:sz w:val="22"/>
              </w:rPr>
            </w:pPr>
            <w:r>
              <w:rPr>
                <w:color w:val="25495F"/>
                <w:spacing w:val="-5"/>
                <w:sz w:val="22"/>
              </w:rPr>
              <w:t>PAD</w:t>
            </w:r>
          </w:p>
        </w:tc>
        <w:tc>
          <w:tcPr>
            <w:tcW w:w="466" w:type="dxa"/>
            <w:tcBorders>
              <w:left w:val="nil"/>
              <w:bottom w:val="single" w:sz="8" w:space="0" w:color="ADADAD"/>
              <w:right w:val="single" w:sz="8" w:space="0" w:color="DFDFDF"/>
            </w:tcBorders>
          </w:tcPr>
          <w:p>
            <w:pPr>
              <w:pStyle w:val="TableParagraph"/>
              <w:spacing w:line="253" w:lineRule="exact"/>
              <w:ind w:left="62"/>
              <w:rPr>
                <w:sz w:val="22"/>
              </w:rPr>
            </w:pPr>
            <w:r>
              <w:rPr>
                <w:color w:val="000104"/>
                <w:spacing w:val="-5"/>
                <w:sz w:val="22"/>
              </w:rPr>
              <w:t>27</w:t>
            </w:r>
          </w:p>
        </w:tc>
        <w:tc>
          <w:tcPr>
            <w:tcW w:w="783" w:type="dxa"/>
            <w:tcBorders>
              <w:left w:val="single" w:sz="8" w:space="0" w:color="DFDFDF"/>
              <w:bottom w:val="single" w:sz="8" w:space="0" w:color="ADADAD"/>
              <w:right w:val="single" w:sz="8" w:space="0" w:color="DFDFDF"/>
            </w:tcBorders>
          </w:tcPr>
          <w:p>
            <w:pPr>
              <w:pStyle w:val="TableParagraph"/>
              <w:spacing w:line="253" w:lineRule="exact"/>
              <w:ind w:left="61"/>
              <w:rPr>
                <w:sz w:val="22"/>
              </w:rPr>
            </w:pPr>
            <w:r>
              <w:rPr>
                <w:color w:val="000104"/>
                <w:spacing w:val="-2"/>
                <w:sz w:val="22"/>
              </w:rPr>
              <w:t>57,14</w:t>
            </w:r>
          </w:p>
        </w:tc>
        <w:tc>
          <w:tcPr>
            <w:tcW w:w="941" w:type="dxa"/>
            <w:tcBorders>
              <w:left w:val="single" w:sz="8" w:space="0" w:color="DFDFDF"/>
              <w:bottom w:val="single" w:sz="8" w:space="0" w:color="ADADAD"/>
              <w:right w:val="single" w:sz="8" w:space="0" w:color="DFDFDF"/>
            </w:tcBorders>
          </w:tcPr>
          <w:p>
            <w:pPr>
              <w:pStyle w:val="TableParagraph"/>
              <w:spacing w:line="253" w:lineRule="exact"/>
              <w:ind w:left="61"/>
              <w:rPr>
                <w:sz w:val="22"/>
              </w:rPr>
            </w:pPr>
            <w:r>
              <w:rPr>
                <w:color w:val="000104"/>
                <w:spacing w:val="-2"/>
                <w:sz w:val="22"/>
              </w:rPr>
              <w:t>137,93</w:t>
            </w:r>
          </w:p>
        </w:tc>
        <w:tc>
          <w:tcPr>
            <w:tcW w:w="941" w:type="dxa"/>
            <w:tcBorders>
              <w:left w:val="single" w:sz="8" w:space="0" w:color="DFDFDF"/>
              <w:bottom w:val="single" w:sz="8" w:space="0" w:color="ADADAD"/>
              <w:right w:val="single" w:sz="8" w:space="0" w:color="DFDFDF"/>
            </w:tcBorders>
          </w:tcPr>
          <w:p>
            <w:pPr>
              <w:pStyle w:val="TableParagraph"/>
              <w:spacing w:line="253" w:lineRule="exact"/>
              <w:ind w:left="61"/>
              <w:rPr>
                <w:sz w:val="22"/>
              </w:rPr>
            </w:pPr>
            <w:r>
              <w:rPr>
                <w:color w:val="000104"/>
                <w:spacing w:val="-2"/>
                <w:sz w:val="22"/>
              </w:rPr>
              <w:t>96,5296</w:t>
            </w:r>
          </w:p>
        </w:tc>
        <w:tc>
          <w:tcPr>
            <w:tcW w:w="1066" w:type="dxa"/>
            <w:tcBorders>
              <w:left w:val="single" w:sz="8" w:space="0" w:color="DFDFDF"/>
              <w:bottom w:val="single" w:sz="8" w:space="0" w:color="ADADAD"/>
              <w:right w:val="nil"/>
            </w:tcBorders>
          </w:tcPr>
          <w:p>
            <w:pPr>
              <w:pStyle w:val="TableParagraph"/>
              <w:spacing w:line="253" w:lineRule="exact"/>
              <w:ind w:right="109"/>
              <w:jc w:val="center"/>
              <w:rPr>
                <w:sz w:val="22"/>
              </w:rPr>
            </w:pPr>
            <w:r>
              <w:rPr>
                <w:color w:val="000104"/>
                <w:spacing w:val="-2"/>
                <w:sz w:val="22"/>
              </w:rPr>
              <w:t>16,45173</w:t>
            </w:r>
          </w:p>
        </w:tc>
      </w:tr>
      <w:tr>
        <w:trPr>
          <w:trHeight w:val="268" w:hRule="atLeast"/>
        </w:trPr>
        <w:tc>
          <w:tcPr>
            <w:tcW w:w="1729" w:type="dxa"/>
            <w:tcBorders>
              <w:top w:val="single" w:sz="8" w:space="0" w:color="ADADAD"/>
              <w:left w:val="nil"/>
              <w:bottom w:val="single" w:sz="8" w:space="0" w:color="ADADAD"/>
              <w:right w:val="nil"/>
            </w:tcBorders>
            <w:shd w:val="clear" w:color="auto" w:fill="DFDFDF"/>
          </w:tcPr>
          <w:p>
            <w:pPr>
              <w:pStyle w:val="TableParagraph"/>
              <w:spacing w:line="248" w:lineRule="exact"/>
              <w:ind w:left="62"/>
              <w:rPr>
                <w:sz w:val="22"/>
              </w:rPr>
            </w:pPr>
            <w:r>
              <w:rPr>
                <w:color w:val="25495F"/>
                <w:sz w:val="22"/>
              </w:rPr>
              <w:t>BELANJA</w:t>
            </w:r>
            <w:r>
              <w:rPr>
                <w:color w:val="25495F"/>
                <w:spacing w:val="-4"/>
                <w:sz w:val="22"/>
              </w:rPr>
              <w:t> </w:t>
            </w:r>
            <w:r>
              <w:rPr>
                <w:color w:val="25495F"/>
                <w:spacing w:val="-2"/>
                <w:sz w:val="22"/>
              </w:rPr>
              <w:t>MODAL</w:t>
            </w:r>
          </w:p>
        </w:tc>
        <w:tc>
          <w:tcPr>
            <w:tcW w:w="466" w:type="dxa"/>
            <w:tcBorders>
              <w:top w:val="single" w:sz="8" w:space="0" w:color="ADADAD"/>
              <w:left w:val="nil"/>
              <w:bottom w:val="single" w:sz="8" w:space="0" w:color="ADADAD"/>
              <w:right w:val="single" w:sz="8" w:space="0" w:color="DFDFDF"/>
            </w:tcBorders>
          </w:tcPr>
          <w:p>
            <w:pPr>
              <w:pStyle w:val="TableParagraph"/>
              <w:spacing w:line="248" w:lineRule="exact"/>
              <w:ind w:left="62"/>
              <w:rPr>
                <w:sz w:val="22"/>
              </w:rPr>
            </w:pPr>
            <w:r>
              <w:rPr>
                <w:color w:val="000104"/>
                <w:spacing w:val="-5"/>
                <w:sz w:val="22"/>
              </w:rPr>
              <w:t>27</w:t>
            </w:r>
          </w:p>
        </w:tc>
        <w:tc>
          <w:tcPr>
            <w:tcW w:w="783" w:type="dxa"/>
            <w:tcBorders>
              <w:top w:val="single" w:sz="8" w:space="0" w:color="ADADAD"/>
              <w:left w:val="single" w:sz="8" w:space="0" w:color="DFDFDF"/>
              <w:bottom w:val="single" w:sz="8" w:space="0" w:color="ADADAD"/>
              <w:right w:val="single" w:sz="8" w:space="0" w:color="DFDFDF"/>
            </w:tcBorders>
          </w:tcPr>
          <w:p>
            <w:pPr>
              <w:pStyle w:val="TableParagraph"/>
              <w:spacing w:line="248" w:lineRule="exact"/>
              <w:ind w:left="61"/>
              <w:rPr>
                <w:sz w:val="22"/>
              </w:rPr>
            </w:pPr>
            <w:r>
              <w:rPr>
                <w:color w:val="000104"/>
                <w:spacing w:val="-2"/>
                <w:sz w:val="22"/>
              </w:rPr>
              <w:t>10,63</w:t>
            </w:r>
          </w:p>
        </w:tc>
        <w:tc>
          <w:tcPr>
            <w:tcW w:w="941" w:type="dxa"/>
            <w:tcBorders>
              <w:top w:val="single" w:sz="8" w:space="0" w:color="ADADAD"/>
              <w:left w:val="single" w:sz="8" w:space="0" w:color="DFDFDF"/>
              <w:bottom w:val="single" w:sz="8" w:space="0" w:color="ADADAD"/>
              <w:right w:val="single" w:sz="8" w:space="0" w:color="DFDFDF"/>
            </w:tcBorders>
          </w:tcPr>
          <w:p>
            <w:pPr>
              <w:pStyle w:val="TableParagraph"/>
              <w:spacing w:line="248" w:lineRule="exact"/>
              <w:ind w:left="61"/>
              <w:rPr>
                <w:sz w:val="22"/>
              </w:rPr>
            </w:pPr>
            <w:r>
              <w:rPr>
                <w:color w:val="000104"/>
                <w:spacing w:val="-2"/>
                <w:sz w:val="22"/>
              </w:rPr>
              <w:t>43,82</w:t>
            </w:r>
          </w:p>
        </w:tc>
        <w:tc>
          <w:tcPr>
            <w:tcW w:w="941" w:type="dxa"/>
            <w:tcBorders>
              <w:top w:val="single" w:sz="8" w:space="0" w:color="ADADAD"/>
              <w:left w:val="single" w:sz="8" w:space="0" w:color="DFDFDF"/>
              <w:bottom w:val="single" w:sz="8" w:space="0" w:color="ADADAD"/>
              <w:right w:val="single" w:sz="8" w:space="0" w:color="DFDFDF"/>
            </w:tcBorders>
          </w:tcPr>
          <w:p>
            <w:pPr>
              <w:pStyle w:val="TableParagraph"/>
              <w:spacing w:line="248" w:lineRule="exact"/>
              <w:ind w:left="61"/>
              <w:rPr>
                <w:sz w:val="22"/>
              </w:rPr>
            </w:pPr>
            <w:r>
              <w:rPr>
                <w:color w:val="000104"/>
                <w:spacing w:val="-2"/>
                <w:sz w:val="22"/>
              </w:rPr>
              <w:t>20,5430</w:t>
            </w:r>
          </w:p>
        </w:tc>
        <w:tc>
          <w:tcPr>
            <w:tcW w:w="1066" w:type="dxa"/>
            <w:tcBorders>
              <w:top w:val="single" w:sz="8" w:space="0" w:color="ADADAD"/>
              <w:left w:val="single" w:sz="8" w:space="0" w:color="DFDFDF"/>
              <w:bottom w:val="single" w:sz="8" w:space="0" w:color="ADADAD"/>
              <w:right w:val="nil"/>
            </w:tcBorders>
          </w:tcPr>
          <w:p>
            <w:pPr>
              <w:pStyle w:val="TableParagraph"/>
              <w:spacing w:line="248" w:lineRule="exact"/>
              <w:ind w:right="109"/>
              <w:jc w:val="center"/>
              <w:rPr>
                <w:sz w:val="22"/>
              </w:rPr>
            </w:pPr>
            <w:r>
              <w:rPr>
                <w:color w:val="000104"/>
                <w:spacing w:val="-2"/>
                <w:sz w:val="22"/>
              </w:rPr>
              <w:t>10,20776</w:t>
            </w:r>
          </w:p>
        </w:tc>
      </w:tr>
      <w:tr>
        <w:trPr>
          <w:trHeight w:val="537" w:hRule="atLeast"/>
        </w:trPr>
        <w:tc>
          <w:tcPr>
            <w:tcW w:w="1729" w:type="dxa"/>
            <w:tcBorders>
              <w:top w:val="single" w:sz="8" w:space="0" w:color="ADADAD"/>
              <w:left w:val="nil"/>
              <w:bottom w:val="single" w:sz="8" w:space="0" w:color="ADADAD"/>
              <w:right w:val="nil"/>
            </w:tcBorders>
            <w:shd w:val="clear" w:color="auto" w:fill="DFDFDF"/>
          </w:tcPr>
          <w:p>
            <w:pPr>
              <w:pStyle w:val="TableParagraph"/>
              <w:spacing w:line="260" w:lineRule="exact"/>
              <w:ind w:left="62"/>
              <w:rPr>
                <w:sz w:val="22"/>
              </w:rPr>
            </w:pPr>
            <w:r>
              <w:rPr>
                <w:color w:val="25495F"/>
                <w:spacing w:val="-2"/>
                <w:sz w:val="22"/>
              </w:rPr>
              <w:t>TINGKAT</w:t>
            </w:r>
          </w:p>
          <w:p>
            <w:pPr>
              <w:pStyle w:val="TableParagraph"/>
              <w:spacing w:line="257" w:lineRule="exact"/>
              <w:ind w:left="62"/>
              <w:rPr>
                <w:sz w:val="22"/>
              </w:rPr>
            </w:pPr>
            <w:r>
              <w:rPr>
                <w:color w:val="25495F"/>
                <w:spacing w:val="-2"/>
                <w:sz w:val="22"/>
              </w:rPr>
              <w:t>KEMANDIRIAN</w:t>
            </w:r>
          </w:p>
        </w:tc>
        <w:tc>
          <w:tcPr>
            <w:tcW w:w="466" w:type="dxa"/>
            <w:tcBorders>
              <w:top w:val="single" w:sz="8" w:space="0" w:color="ADADAD"/>
              <w:left w:val="nil"/>
              <w:bottom w:val="single" w:sz="8" w:space="0" w:color="ADADAD"/>
              <w:right w:val="single" w:sz="8" w:space="0" w:color="DFDFDF"/>
            </w:tcBorders>
          </w:tcPr>
          <w:p>
            <w:pPr>
              <w:pStyle w:val="TableParagraph"/>
              <w:spacing w:line="260" w:lineRule="exact"/>
              <w:ind w:left="62"/>
              <w:rPr>
                <w:sz w:val="22"/>
              </w:rPr>
            </w:pPr>
            <w:r>
              <w:rPr>
                <w:color w:val="000104"/>
                <w:spacing w:val="-5"/>
                <w:sz w:val="22"/>
              </w:rPr>
              <w:t>27</w:t>
            </w:r>
          </w:p>
        </w:tc>
        <w:tc>
          <w:tcPr>
            <w:tcW w:w="783" w:type="dxa"/>
            <w:tcBorders>
              <w:top w:val="single" w:sz="8" w:space="0" w:color="ADADAD"/>
              <w:left w:val="single" w:sz="8" w:space="0" w:color="DFDFDF"/>
              <w:bottom w:val="single" w:sz="8" w:space="0" w:color="ADADAD"/>
              <w:right w:val="single" w:sz="8" w:space="0" w:color="DFDFDF"/>
            </w:tcBorders>
          </w:tcPr>
          <w:p>
            <w:pPr>
              <w:pStyle w:val="TableParagraph"/>
              <w:spacing w:line="260" w:lineRule="exact"/>
              <w:ind w:left="61"/>
              <w:rPr>
                <w:sz w:val="22"/>
              </w:rPr>
            </w:pPr>
            <w:r>
              <w:rPr>
                <w:color w:val="000104"/>
                <w:spacing w:val="-4"/>
                <w:sz w:val="22"/>
              </w:rPr>
              <w:t>9,20</w:t>
            </w:r>
          </w:p>
        </w:tc>
        <w:tc>
          <w:tcPr>
            <w:tcW w:w="941" w:type="dxa"/>
            <w:tcBorders>
              <w:top w:val="single" w:sz="8" w:space="0" w:color="ADADAD"/>
              <w:left w:val="single" w:sz="8" w:space="0" w:color="DFDFDF"/>
              <w:bottom w:val="single" w:sz="8" w:space="0" w:color="ADADAD"/>
              <w:right w:val="single" w:sz="8" w:space="0" w:color="DFDFDF"/>
            </w:tcBorders>
          </w:tcPr>
          <w:p>
            <w:pPr>
              <w:pStyle w:val="TableParagraph"/>
              <w:spacing w:line="260" w:lineRule="exact"/>
              <w:ind w:left="61"/>
              <w:rPr>
                <w:sz w:val="22"/>
              </w:rPr>
            </w:pPr>
            <w:r>
              <w:rPr>
                <w:color w:val="000104"/>
                <w:spacing w:val="-2"/>
                <w:sz w:val="22"/>
              </w:rPr>
              <w:t>60,78</w:t>
            </w:r>
          </w:p>
        </w:tc>
        <w:tc>
          <w:tcPr>
            <w:tcW w:w="941" w:type="dxa"/>
            <w:tcBorders>
              <w:top w:val="single" w:sz="8" w:space="0" w:color="ADADAD"/>
              <w:left w:val="single" w:sz="8" w:space="0" w:color="DFDFDF"/>
              <w:bottom w:val="single" w:sz="8" w:space="0" w:color="ADADAD"/>
              <w:right w:val="single" w:sz="8" w:space="0" w:color="DFDFDF"/>
            </w:tcBorders>
          </w:tcPr>
          <w:p>
            <w:pPr>
              <w:pStyle w:val="TableParagraph"/>
              <w:spacing w:line="260" w:lineRule="exact"/>
              <w:ind w:left="61"/>
              <w:rPr>
                <w:sz w:val="22"/>
              </w:rPr>
            </w:pPr>
            <w:r>
              <w:rPr>
                <w:color w:val="000104"/>
                <w:spacing w:val="-2"/>
                <w:sz w:val="22"/>
              </w:rPr>
              <w:t>23,0559</w:t>
            </w:r>
          </w:p>
        </w:tc>
        <w:tc>
          <w:tcPr>
            <w:tcW w:w="1066" w:type="dxa"/>
            <w:tcBorders>
              <w:top w:val="single" w:sz="8" w:space="0" w:color="ADADAD"/>
              <w:left w:val="single" w:sz="8" w:space="0" w:color="DFDFDF"/>
              <w:bottom w:val="single" w:sz="8" w:space="0" w:color="ADADAD"/>
              <w:right w:val="nil"/>
            </w:tcBorders>
          </w:tcPr>
          <w:p>
            <w:pPr>
              <w:pStyle w:val="TableParagraph"/>
              <w:spacing w:line="260" w:lineRule="exact"/>
              <w:ind w:right="109"/>
              <w:jc w:val="center"/>
              <w:rPr>
                <w:sz w:val="22"/>
              </w:rPr>
            </w:pPr>
            <w:r>
              <w:rPr>
                <w:color w:val="000104"/>
                <w:spacing w:val="-2"/>
                <w:sz w:val="22"/>
              </w:rPr>
              <w:t>13,10601</w:t>
            </w:r>
          </w:p>
        </w:tc>
      </w:tr>
      <w:tr>
        <w:trPr>
          <w:trHeight w:val="277" w:hRule="atLeast"/>
        </w:trPr>
        <w:tc>
          <w:tcPr>
            <w:tcW w:w="1729" w:type="dxa"/>
            <w:tcBorders>
              <w:top w:val="single" w:sz="8" w:space="0" w:color="ADADAD"/>
              <w:left w:val="nil"/>
              <w:right w:val="nil"/>
            </w:tcBorders>
            <w:shd w:val="clear" w:color="auto" w:fill="DFDFDF"/>
          </w:tcPr>
          <w:p>
            <w:pPr>
              <w:pStyle w:val="TableParagraph"/>
              <w:spacing w:line="258" w:lineRule="exact"/>
              <w:ind w:left="62"/>
              <w:rPr>
                <w:sz w:val="22"/>
              </w:rPr>
            </w:pPr>
            <w:r>
              <w:rPr>
                <w:color w:val="25495F"/>
                <w:sz w:val="22"/>
              </w:rPr>
              <w:t>Valid</w:t>
            </w:r>
            <w:r>
              <w:rPr>
                <w:color w:val="25495F"/>
                <w:spacing w:val="-3"/>
                <w:sz w:val="22"/>
              </w:rPr>
              <w:t> </w:t>
            </w:r>
            <w:r>
              <w:rPr>
                <w:color w:val="25495F"/>
                <w:sz w:val="22"/>
              </w:rPr>
              <w:t>N</w:t>
            </w:r>
            <w:r>
              <w:rPr>
                <w:color w:val="25495F"/>
                <w:spacing w:val="1"/>
                <w:sz w:val="22"/>
              </w:rPr>
              <w:t> </w:t>
            </w:r>
            <w:r>
              <w:rPr>
                <w:color w:val="25495F"/>
                <w:spacing w:val="-2"/>
                <w:sz w:val="22"/>
              </w:rPr>
              <w:t>(listwise)</w:t>
            </w:r>
          </w:p>
        </w:tc>
        <w:tc>
          <w:tcPr>
            <w:tcW w:w="466" w:type="dxa"/>
            <w:tcBorders>
              <w:top w:val="single" w:sz="8" w:space="0" w:color="ADADAD"/>
              <w:left w:val="nil"/>
              <w:right w:val="single" w:sz="8" w:space="0" w:color="DFDFDF"/>
            </w:tcBorders>
          </w:tcPr>
          <w:p>
            <w:pPr>
              <w:pStyle w:val="TableParagraph"/>
              <w:spacing w:line="258" w:lineRule="exact"/>
              <w:ind w:left="62"/>
              <w:rPr>
                <w:sz w:val="22"/>
              </w:rPr>
            </w:pPr>
            <w:r>
              <w:rPr>
                <w:color w:val="000104"/>
                <w:spacing w:val="-5"/>
                <w:sz w:val="22"/>
              </w:rPr>
              <w:t>27</w:t>
            </w:r>
          </w:p>
        </w:tc>
        <w:tc>
          <w:tcPr>
            <w:tcW w:w="783" w:type="dxa"/>
            <w:tcBorders>
              <w:top w:val="single" w:sz="8" w:space="0" w:color="ADADAD"/>
              <w:left w:val="single" w:sz="8" w:space="0" w:color="DFDFDF"/>
              <w:right w:val="single" w:sz="8" w:space="0" w:color="DFDFDF"/>
            </w:tcBorders>
          </w:tcPr>
          <w:p>
            <w:pPr>
              <w:pStyle w:val="TableParagraph"/>
              <w:rPr>
                <w:rFonts w:ascii="Times New Roman"/>
                <w:sz w:val="20"/>
              </w:rPr>
            </w:pPr>
          </w:p>
        </w:tc>
        <w:tc>
          <w:tcPr>
            <w:tcW w:w="941" w:type="dxa"/>
            <w:tcBorders>
              <w:top w:val="single" w:sz="8" w:space="0" w:color="ADADAD"/>
              <w:left w:val="single" w:sz="8" w:space="0" w:color="DFDFDF"/>
              <w:right w:val="single" w:sz="8" w:space="0" w:color="DFDFDF"/>
            </w:tcBorders>
          </w:tcPr>
          <w:p>
            <w:pPr>
              <w:pStyle w:val="TableParagraph"/>
              <w:rPr>
                <w:rFonts w:ascii="Times New Roman"/>
                <w:sz w:val="20"/>
              </w:rPr>
            </w:pPr>
          </w:p>
        </w:tc>
        <w:tc>
          <w:tcPr>
            <w:tcW w:w="941" w:type="dxa"/>
            <w:tcBorders>
              <w:top w:val="single" w:sz="8" w:space="0" w:color="ADADAD"/>
              <w:left w:val="single" w:sz="8" w:space="0" w:color="DFDFDF"/>
              <w:right w:val="single" w:sz="8" w:space="0" w:color="DFDFDF"/>
            </w:tcBorders>
          </w:tcPr>
          <w:p>
            <w:pPr>
              <w:pStyle w:val="TableParagraph"/>
              <w:rPr>
                <w:rFonts w:ascii="Times New Roman"/>
                <w:sz w:val="20"/>
              </w:rPr>
            </w:pPr>
          </w:p>
        </w:tc>
        <w:tc>
          <w:tcPr>
            <w:tcW w:w="1066" w:type="dxa"/>
            <w:tcBorders>
              <w:top w:val="single" w:sz="8" w:space="0" w:color="ADADAD"/>
              <w:left w:val="single" w:sz="8" w:space="0" w:color="DFDFDF"/>
              <w:right w:val="nil"/>
            </w:tcBorders>
          </w:tcPr>
          <w:p>
            <w:pPr>
              <w:pStyle w:val="TableParagraph"/>
              <w:rPr>
                <w:rFonts w:ascii="Times New Roman"/>
                <w:sz w:val="20"/>
              </w:rPr>
            </w:pPr>
          </w:p>
        </w:tc>
      </w:tr>
    </w:tbl>
    <w:p>
      <w:pPr>
        <w:spacing w:before="198"/>
        <w:ind w:left="119" w:right="0" w:firstLine="0"/>
        <w:jc w:val="both"/>
        <w:rPr>
          <w:b/>
          <w:sz w:val="22"/>
        </w:rPr>
      </w:pPr>
      <w:r>
        <w:rPr>
          <w:b/>
          <w:spacing w:val="-2"/>
          <w:sz w:val="22"/>
        </w:rPr>
        <w:t>Analisis</w:t>
      </w:r>
      <w:r>
        <w:rPr>
          <w:b/>
          <w:spacing w:val="-3"/>
          <w:sz w:val="22"/>
        </w:rPr>
        <w:t> </w:t>
      </w:r>
      <w:r>
        <w:rPr>
          <w:b/>
          <w:spacing w:val="-2"/>
          <w:sz w:val="22"/>
        </w:rPr>
        <w:t>Verifikatif</w:t>
      </w:r>
    </w:p>
    <w:p>
      <w:pPr>
        <w:pStyle w:val="BodyText"/>
        <w:spacing w:before="1"/>
        <w:ind w:left="119" w:right="116"/>
        <w:jc w:val="both"/>
      </w:pPr>
      <w:r>
        <w:rPr/>
        <w:t>Dalam analisis verifikatif ini dilakukan uji asumsi klasik mencakup uji normalitas, multikolinearitas, autokorelasi dan heteroskedastisitas. Kemudian dilakukan pengujian regresi linier berganda, uji koefisien determinas, uji kelayakan model dan uji hipotesis.</w:t>
      </w:r>
    </w:p>
    <w:p>
      <w:pPr>
        <w:pStyle w:val="BodyText"/>
        <w:spacing w:before="1"/>
        <w:rPr>
          <w:sz w:val="17"/>
        </w:rPr>
      </w:pPr>
    </w:p>
    <w:p>
      <w:pPr>
        <w:spacing w:after="0"/>
        <w:rPr>
          <w:sz w:val="17"/>
        </w:rPr>
        <w:sectPr>
          <w:pgSz w:w="11910" w:h="16840"/>
          <w:pgMar w:header="891" w:footer="1118" w:top="1640" w:bottom="1300" w:left="1580" w:right="1580"/>
        </w:sectPr>
      </w:pPr>
    </w:p>
    <w:p>
      <w:pPr>
        <w:pStyle w:val="Heading2"/>
        <w:spacing w:before="57"/>
      </w:pPr>
      <w:r>
        <w:rPr/>
        <w:t>Uji</w:t>
      </w:r>
      <w:r>
        <w:rPr>
          <w:spacing w:val="-9"/>
        </w:rPr>
        <w:t> </w:t>
      </w:r>
      <w:r>
        <w:rPr/>
        <w:t>Resresi</w:t>
      </w:r>
      <w:r>
        <w:rPr>
          <w:spacing w:val="-4"/>
        </w:rPr>
        <w:t> </w:t>
      </w:r>
      <w:r>
        <w:rPr/>
        <w:t>Linier</w:t>
      </w:r>
      <w:r>
        <w:rPr>
          <w:spacing w:val="-4"/>
        </w:rPr>
        <w:t> </w:t>
      </w:r>
      <w:r>
        <w:rPr>
          <w:spacing w:val="-2"/>
        </w:rPr>
        <w:t>Berganda</w:t>
      </w:r>
    </w:p>
    <w:p>
      <w:pPr>
        <w:spacing w:line="240" w:lineRule="auto" w:before="57"/>
        <w:rPr>
          <w:b/>
          <w:sz w:val="22"/>
        </w:rPr>
      </w:pPr>
      <w:r>
        <w:rPr/>
        <w:br w:type="column"/>
      </w:r>
      <w:r>
        <w:rPr>
          <w:b/>
          <w:sz w:val="22"/>
        </w:rPr>
      </w:r>
    </w:p>
    <w:p>
      <w:pPr>
        <w:pStyle w:val="Heading2"/>
        <w:ind w:left="2" w:right="2789"/>
        <w:jc w:val="center"/>
      </w:pPr>
      <w:r>
        <w:rPr/>
        <w:t>Tabel</w:t>
      </w:r>
      <w:r>
        <w:rPr>
          <w:spacing w:val="-3"/>
        </w:rPr>
        <w:t> </w:t>
      </w:r>
      <w:r>
        <w:rPr>
          <w:spacing w:val="-12"/>
        </w:rPr>
        <w:t>3</w:t>
      </w:r>
    </w:p>
    <w:p>
      <w:pPr>
        <w:spacing w:before="0"/>
        <w:ind w:left="0" w:right="2789" w:firstLine="0"/>
        <w:jc w:val="center"/>
        <w:rPr>
          <w:b/>
          <w:sz w:val="22"/>
        </w:rPr>
      </w:pPr>
      <w:r>
        <w:rPr>
          <w:b/>
          <w:sz w:val="22"/>
        </w:rPr>
        <w:t>Hasil</w:t>
      </w:r>
      <w:r>
        <w:rPr>
          <w:b/>
          <w:spacing w:val="-8"/>
          <w:sz w:val="22"/>
        </w:rPr>
        <w:t> </w:t>
      </w:r>
      <w:r>
        <w:rPr>
          <w:b/>
          <w:sz w:val="22"/>
        </w:rPr>
        <w:t>Uji</w:t>
      </w:r>
      <w:r>
        <w:rPr>
          <w:b/>
          <w:spacing w:val="-7"/>
          <w:sz w:val="22"/>
        </w:rPr>
        <w:t> </w:t>
      </w:r>
      <w:r>
        <w:rPr>
          <w:b/>
          <w:sz w:val="22"/>
        </w:rPr>
        <w:t>Regesi</w:t>
      </w:r>
      <w:r>
        <w:rPr>
          <w:b/>
          <w:spacing w:val="-3"/>
          <w:sz w:val="22"/>
        </w:rPr>
        <w:t> </w:t>
      </w:r>
      <w:r>
        <w:rPr>
          <w:b/>
          <w:sz w:val="22"/>
        </w:rPr>
        <w:t>Linear</w:t>
      </w:r>
      <w:r>
        <w:rPr>
          <w:b/>
          <w:spacing w:val="-7"/>
          <w:sz w:val="22"/>
        </w:rPr>
        <w:t> </w:t>
      </w:r>
      <w:r>
        <w:rPr>
          <w:b/>
          <w:spacing w:val="-2"/>
          <w:sz w:val="22"/>
        </w:rPr>
        <w:t>Berganda</w:t>
      </w:r>
    </w:p>
    <w:p>
      <w:pPr>
        <w:spacing w:after="0"/>
        <w:jc w:val="center"/>
        <w:rPr>
          <w:sz w:val="22"/>
        </w:rPr>
        <w:sectPr>
          <w:type w:val="continuous"/>
          <w:pgSz w:w="11910" w:h="16840"/>
          <w:pgMar w:header="891" w:footer="1118" w:top="1640" w:bottom="1300" w:left="1580" w:right="1580"/>
          <w:cols w:num="2" w:equalWidth="0">
            <w:col w:w="2595" w:space="200"/>
            <w:col w:w="5955"/>
          </w:cols>
        </w:sectPr>
      </w:pPr>
    </w:p>
    <w:p>
      <w:pPr>
        <w:pStyle w:val="BodyText"/>
        <w:spacing w:before="9"/>
        <w:rPr>
          <w:b/>
          <w:sz w:val="7"/>
        </w:rPr>
      </w:pPr>
    </w:p>
    <w:tbl>
      <w:tblPr>
        <w:tblW w:w="0" w:type="auto"/>
        <w:jc w:val="left"/>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8"/>
        <w:gridCol w:w="1489"/>
        <w:gridCol w:w="1115"/>
        <w:gridCol w:w="1129"/>
        <w:gridCol w:w="1235"/>
        <w:gridCol w:w="864"/>
        <w:gridCol w:w="884"/>
      </w:tblGrid>
      <w:tr>
        <w:trPr>
          <w:trHeight w:val="268" w:hRule="atLeast"/>
        </w:trPr>
        <w:tc>
          <w:tcPr>
            <w:tcW w:w="7334" w:type="dxa"/>
            <w:gridSpan w:val="7"/>
          </w:tcPr>
          <w:p>
            <w:pPr>
              <w:pStyle w:val="TableParagraph"/>
              <w:spacing w:line="247" w:lineRule="exact" w:before="2"/>
              <w:ind w:left="4"/>
              <w:rPr>
                <w:b/>
                <w:sz w:val="22"/>
              </w:rPr>
            </w:pPr>
            <w:r>
              <w:rPr>
                <w:b/>
                <w:spacing w:val="-2"/>
                <w:sz w:val="22"/>
              </w:rPr>
              <w:t>Coefficients</w:t>
            </w:r>
            <w:r>
              <w:rPr>
                <w:b/>
                <w:spacing w:val="-2"/>
                <w:sz w:val="22"/>
                <w:vertAlign w:val="superscript"/>
              </w:rPr>
              <w:t>a</w:t>
            </w:r>
          </w:p>
        </w:tc>
      </w:tr>
      <w:tr>
        <w:trPr>
          <w:trHeight w:val="537" w:hRule="atLeast"/>
        </w:trPr>
        <w:tc>
          <w:tcPr>
            <w:tcW w:w="2107" w:type="dxa"/>
            <w:gridSpan w:val="2"/>
            <w:vMerge w:val="restart"/>
          </w:tcPr>
          <w:p>
            <w:pPr>
              <w:pStyle w:val="TableParagraph"/>
              <w:rPr>
                <w:b/>
                <w:sz w:val="22"/>
              </w:rPr>
            </w:pPr>
          </w:p>
          <w:p>
            <w:pPr>
              <w:pStyle w:val="TableParagraph"/>
              <w:spacing w:before="16"/>
              <w:rPr>
                <w:b/>
                <w:sz w:val="22"/>
              </w:rPr>
            </w:pPr>
          </w:p>
          <w:p>
            <w:pPr>
              <w:pStyle w:val="TableParagraph"/>
              <w:ind w:left="4"/>
              <w:rPr>
                <w:b/>
                <w:sz w:val="22"/>
              </w:rPr>
            </w:pPr>
            <w:r>
              <w:rPr>
                <w:b/>
                <w:spacing w:val="-2"/>
                <w:sz w:val="22"/>
              </w:rPr>
              <w:t>Model</w:t>
            </w:r>
          </w:p>
        </w:tc>
        <w:tc>
          <w:tcPr>
            <w:tcW w:w="2244" w:type="dxa"/>
            <w:gridSpan w:val="2"/>
          </w:tcPr>
          <w:p>
            <w:pPr>
              <w:pStyle w:val="TableParagraph"/>
              <w:spacing w:line="270" w:lineRule="atLeast"/>
              <w:ind w:right="784"/>
              <w:rPr>
                <w:b/>
                <w:sz w:val="22"/>
              </w:rPr>
            </w:pPr>
            <w:r>
              <w:rPr>
                <w:b/>
                <w:spacing w:val="-2"/>
                <w:sz w:val="22"/>
              </w:rPr>
              <w:t>Unstandardized Coefficients</w:t>
            </w:r>
          </w:p>
        </w:tc>
        <w:tc>
          <w:tcPr>
            <w:tcW w:w="1235" w:type="dxa"/>
          </w:tcPr>
          <w:p>
            <w:pPr>
              <w:pStyle w:val="TableParagraph"/>
              <w:spacing w:line="270" w:lineRule="atLeast"/>
              <w:ind w:left="3"/>
              <w:rPr>
                <w:b/>
                <w:sz w:val="22"/>
              </w:rPr>
            </w:pPr>
            <w:r>
              <w:rPr>
                <w:b/>
                <w:spacing w:val="-2"/>
                <w:sz w:val="22"/>
              </w:rPr>
              <w:t>Standardized Coefficients</w:t>
            </w:r>
          </w:p>
        </w:tc>
        <w:tc>
          <w:tcPr>
            <w:tcW w:w="864" w:type="dxa"/>
            <w:vMerge w:val="restart"/>
          </w:tcPr>
          <w:p>
            <w:pPr>
              <w:pStyle w:val="TableParagraph"/>
              <w:rPr>
                <w:b/>
                <w:sz w:val="22"/>
              </w:rPr>
            </w:pPr>
          </w:p>
          <w:p>
            <w:pPr>
              <w:pStyle w:val="TableParagraph"/>
              <w:spacing w:before="16"/>
              <w:rPr>
                <w:b/>
                <w:sz w:val="22"/>
              </w:rPr>
            </w:pPr>
          </w:p>
          <w:p>
            <w:pPr>
              <w:pStyle w:val="TableParagraph"/>
              <w:ind w:left="7"/>
              <w:rPr>
                <w:b/>
                <w:sz w:val="22"/>
              </w:rPr>
            </w:pPr>
            <w:r>
              <w:rPr>
                <w:b/>
                <w:spacing w:val="-10"/>
                <w:sz w:val="22"/>
              </w:rPr>
              <w:t>t</w:t>
            </w:r>
          </w:p>
        </w:tc>
        <w:tc>
          <w:tcPr>
            <w:tcW w:w="884" w:type="dxa"/>
            <w:vMerge w:val="restart"/>
          </w:tcPr>
          <w:p>
            <w:pPr>
              <w:pStyle w:val="TableParagraph"/>
              <w:rPr>
                <w:b/>
                <w:sz w:val="22"/>
              </w:rPr>
            </w:pPr>
          </w:p>
          <w:p>
            <w:pPr>
              <w:pStyle w:val="TableParagraph"/>
              <w:spacing w:before="16"/>
              <w:rPr>
                <w:b/>
                <w:sz w:val="22"/>
              </w:rPr>
            </w:pPr>
          </w:p>
          <w:p>
            <w:pPr>
              <w:pStyle w:val="TableParagraph"/>
              <w:ind w:left="3"/>
              <w:rPr>
                <w:b/>
                <w:sz w:val="22"/>
              </w:rPr>
            </w:pPr>
            <w:r>
              <w:rPr>
                <w:b/>
                <w:spacing w:val="-4"/>
                <w:sz w:val="22"/>
              </w:rPr>
              <w:t>Sig.</w:t>
            </w:r>
          </w:p>
        </w:tc>
      </w:tr>
      <w:tr>
        <w:trPr>
          <w:trHeight w:val="265" w:hRule="atLeast"/>
        </w:trPr>
        <w:tc>
          <w:tcPr>
            <w:tcW w:w="2107" w:type="dxa"/>
            <w:gridSpan w:val="2"/>
            <w:vMerge/>
            <w:tcBorders>
              <w:top w:val="nil"/>
            </w:tcBorders>
          </w:tcPr>
          <w:p>
            <w:pPr>
              <w:rPr>
                <w:sz w:val="2"/>
                <w:szCs w:val="2"/>
              </w:rPr>
            </w:pPr>
          </w:p>
        </w:tc>
        <w:tc>
          <w:tcPr>
            <w:tcW w:w="2244" w:type="dxa"/>
            <w:gridSpan w:val="2"/>
          </w:tcPr>
          <w:p>
            <w:pPr>
              <w:pStyle w:val="TableParagraph"/>
              <w:rPr>
                <w:rFonts w:ascii="Times New Roman"/>
                <w:sz w:val="18"/>
              </w:rPr>
            </w:pPr>
          </w:p>
        </w:tc>
        <w:tc>
          <w:tcPr>
            <w:tcW w:w="1235" w:type="dxa"/>
          </w:tcPr>
          <w:p>
            <w:pPr>
              <w:pStyle w:val="TableParagraph"/>
              <w:rPr>
                <w:rFonts w:ascii="Times New Roman"/>
                <w:sz w:val="18"/>
              </w:rPr>
            </w:pPr>
          </w:p>
        </w:tc>
        <w:tc>
          <w:tcPr>
            <w:tcW w:w="864" w:type="dxa"/>
            <w:vMerge/>
            <w:tcBorders>
              <w:top w:val="nil"/>
            </w:tcBorders>
          </w:tcPr>
          <w:p>
            <w:pPr>
              <w:rPr>
                <w:sz w:val="2"/>
                <w:szCs w:val="2"/>
              </w:rPr>
            </w:pPr>
          </w:p>
        </w:tc>
        <w:tc>
          <w:tcPr>
            <w:tcW w:w="884" w:type="dxa"/>
            <w:vMerge/>
            <w:tcBorders>
              <w:top w:val="nil"/>
            </w:tcBorders>
          </w:tcPr>
          <w:p>
            <w:pPr>
              <w:rPr>
                <w:sz w:val="2"/>
                <w:szCs w:val="2"/>
              </w:rPr>
            </w:pPr>
          </w:p>
        </w:tc>
      </w:tr>
      <w:tr>
        <w:trPr>
          <w:trHeight w:val="268" w:hRule="atLeast"/>
        </w:trPr>
        <w:tc>
          <w:tcPr>
            <w:tcW w:w="2107" w:type="dxa"/>
            <w:gridSpan w:val="2"/>
            <w:vMerge/>
            <w:tcBorders>
              <w:top w:val="nil"/>
            </w:tcBorders>
          </w:tcPr>
          <w:p>
            <w:pPr>
              <w:rPr>
                <w:sz w:val="2"/>
                <w:szCs w:val="2"/>
              </w:rPr>
            </w:pPr>
          </w:p>
        </w:tc>
        <w:tc>
          <w:tcPr>
            <w:tcW w:w="2244" w:type="dxa"/>
            <w:gridSpan w:val="2"/>
          </w:tcPr>
          <w:p>
            <w:pPr>
              <w:pStyle w:val="TableParagraph"/>
              <w:rPr>
                <w:rFonts w:ascii="Times New Roman"/>
                <w:sz w:val="18"/>
              </w:rPr>
            </w:pPr>
          </w:p>
        </w:tc>
        <w:tc>
          <w:tcPr>
            <w:tcW w:w="1235" w:type="dxa"/>
          </w:tcPr>
          <w:p>
            <w:pPr>
              <w:pStyle w:val="TableParagraph"/>
              <w:rPr>
                <w:rFonts w:ascii="Times New Roman"/>
                <w:sz w:val="18"/>
              </w:rPr>
            </w:pPr>
          </w:p>
        </w:tc>
        <w:tc>
          <w:tcPr>
            <w:tcW w:w="864" w:type="dxa"/>
            <w:vMerge/>
            <w:tcBorders>
              <w:top w:val="nil"/>
            </w:tcBorders>
          </w:tcPr>
          <w:p>
            <w:pPr>
              <w:rPr>
                <w:sz w:val="2"/>
                <w:szCs w:val="2"/>
              </w:rPr>
            </w:pPr>
          </w:p>
        </w:tc>
        <w:tc>
          <w:tcPr>
            <w:tcW w:w="884" w:type="dxa"/>
            <w:vMerge/>
            <w:tcBorders>
              <w:top w:val="nil"/>
            </w:tcBorders>
          </w:tcPr>
          <w:p>
            <w:pPr>
              <w:rPr>
                <w:sz w:val="2"/>
                <w:szCs w:val="2"/>
              </w:rPr>
            </w:pPr>
          </w:p>
        </w:tc>
      </w:tr>
      <w:tr>
        <w:trPr>
          <w:trHeight w:val="268" w:hRule="atLeast"/>
        </w:trPr>
        <w:tc>
          <w:tcPr>
            <w:tcW w:w="2107" w:type="dxa"/>
            <w:gridSpan w:val="2"/>
            <w:vMerge/>
            <w:tcBorders>
              <w:top w:val="nil"/>
            </w:tcBorders>
          </w:tcPr>
          <w:p>
            <w:pPr>
              <w:rPr>
                <w:sz w:val="2"/>
                <w:szCs w:val="2"/>
              </w:rPr>
            </w:pPr>
          </w:p>
        </w:tc>
        <w:tc>
          <w:tcPr>
            <w:tcW w:w="1115" w:type="dxa"/>
          </w:tcPr>
          <w:p>
            <w:pPr>
              <w:pStyle w:val="TableParagraph"/>
              <w:spacing w:line="247" w:lineRule="exact" w:before="1"/>
              <w:rPr>
                <w:b/>
                <w:sz w:val="22"/>
              </w:rPr>
            </w:pPr>
            <w:r>
              <w:rPr>
                <w:b/>
                <w:spacing w:val="-10"/>
                <w:sz w:val="22"/>
              </w:rPr>
              <w:t>B</w:t>
            </w:r>
          </w:p>
        </w:tc>
        <w:tc>
          <w:tcPr>
            <w:tcW w:w="1129" w:type="dxa"/>
          </w:tcPr>
          <w:p>
            <w:pPr>
              <w:pStyle w:val="TableParagraph"/>
              <w:spacing w:line="247" w:lineRule="exact" w:before="1"/>
              <w:ind w:left="9"/>
              <w:rPr>
                <w:b/>
                <w:sz w:val="22"/>
              </w:rPr>
            </w:pPr>
            <w:r>
              <w:rPr>
                <w:b/>
                <w:sz w:val="22"/>
              </w:rPr>
              <w:t>Std.</w:t>
            </w:r>
            <w:r>
              <w:rPr>
                <w:b/>
                <w:spacing w:val="-3"/>
                <w:sz w:val="22"/>
              </w:rPr>
              <w:t> </w:t>
            </w:r>
            <w:r>
              <w:rPr>
                <w:b/>
                <w:spacing w:val="-2"/>
                <w:sz w:val="22"/>
              </w:rPr>
              <w:t>Error</w:t>
            </w:r>
          </w:p>
        </w:tc>
        <w:tc>
          <w:tcPr>
            <w:tcW w:w="1235" w:type="dxa"/>
          </w:tcPr>
          <w:p>
            <w:pPr>
              <w:pStyle w:val="TableParagraph"/>
              <w:spacing w:line="247" w:lineRule="exact" w:before="1"/>
              <w:ind w:left="3"/>
              <w:rPr>
                <w:b/>
                <w:sz w:val="22"/>
              </w:rPr>
            </w:pPr>
            <w:r>
              <w:rPr>
                <w:b/>
                <w:spacing w:val="-4"/>
                <w:sz w:val="22"/>
              </w:rPr>
              <w:t>Beta</w:t>
            </w:r>
          </w:p>
        </w:tc>
        <w:tc>
          <w:tcPr>
            <w:tcW w:w="864" w:type="dxa"/>
            <w:vMerge/>
            <w:tcBorders>
              <w:top w:val="nil"/>
            </w:tcBorders>
          </w:tcPr>
          <w:p>
            <w:pPr>
              <w:rPr>
                <w:sz w:val="2"/>
                <w:szCs w:val="2"/>
              </w:rPr>
            </w:pPr>
          </w:p>
        </w:tc>
        <w:tc>
          <w:tcPr>
            <w:tcW w:w="884" w:type="dxa"/>
            <w:vMerge/>
            <w:tcBorders>
              <w:top w:val="nil"/>
            </w:tcBorders>
          </w:tcPr>
          <w:p>
            <w:pPr>
              <w:rPr>
                <w:sz w:val="2"/>
                <w:szCs w:val="2"/>
              </w:rPr>
            </w:pPr>
          </w:p>
        </w:tc>
      </w:tr>
      <w:tr>
        <w:trPr>
          <w:trHeight w:val="268" w:hRule="atLeast"/>
        </w:trPr>
        <w:tc>
          <w:tcPr>
            <w:tcW w:w="618" w:type="dxa"/>
            <w:vMerge w:val="restart"/>
            <w:shd w:val="clear" w:color="auto" w:fill="DFDFDF"/>
          </w:tcPr>
          <w:p>
            <w:pPr>
              <w:pStyle w:val="TableParagraph"/>
              <w:spacing w:before="2"/>
              <w:ind w:left="4"/>
              <w:rPr>
                <w:b/>
                <w:sz w:val="22"/>
              </w:rPr>
            </w:pPr>
            <w:r>
              <w:rPr>
                <w:b/>
                <w:spacing w:val="-10"/>
                <w:sz w:val="22"/>
              </w:rPr>
              <w:t>1</w:t>
            </w:r>
          </w:p>
        </w:tc>
        <w:tc>
          <w:tcPr>
            <w:tcW w:w="1489" w:type="dxa"/>
            <w:shd w:val="clear" w:color="auto" w:fill="DFDFDF"/>
          </w:tcPr>
          <w:p>
            <w:pPr>
              <w:pStyle w:val="TableParagraph"/>
              <w:spacing w:line="247" w:lineRule="exact" w:before="2"/>
              <w:ind w:left="5"/>
              <w:rPr>
                <w:b/>
                <w:sz w:val="22"/>
              </w:rPr>
            </w:pPr>
            <w:r>
              <w:rPr>
                <w:b/>
                <w:spacing w:val="-2"/>
                <w:sz w:val="22"/>
              </w:rPr>
              <w:t>(Constant)</w:t>
            </w:r>
          </w:p>
        </w:tc>
        <w:tc>
          <w:tcPr>
            <w:tcW w:w="1115" w:type="dxa"/>
          </w:tcPr>
          <w:p>
            <w:pPr>
              <w:pStyle w:val="TableParagraph"/>
              <w:spacing w:line="247" w:lineRule="exact" w:before="2"/>
              <w:rPr>
                <w:b/>
                <w:sz w:val="22"/>
              </w:rPr>
            </w:pPr>
            <w:r>
              <w:rPr>
                <w:b/>
                <w:sz w:val="22"/>
              </w:rPr>
              <w:t>-</w:t>
            </w:r>
            <w:r>
              <w:rPr>
                <w:b/>
                <w:spacing w:val="-2"/>
                <w:sz w:val="22"/>
              </w:rPr>
              <w:t>30,124</w:t>
            </w:r>
          </w:p>
        </w:tc>
        <w:tc>
          <w:tcPr>
            <w:tcW w:w="1129" w:type="dxa"/>
          </w:tcPr>
          <w:p>
            <w:pPr>
              <w:pStyle w:val="TableParagraph"/>
              <w:spacing w:line="247" w:lineRule="exact" w:before="2"/>
              <w:ind w:left="9"/>
              <w:rPr>
                <w:b/>
                <w:sz w:val="22"/>
              </w:rPr>
            </w:pPr>
            <w:r>
              <w:rPr>
                <w:b/>
                <w:spacing w:val="-2"/>
                <w:sz w:val="22"/>
              </w:rPr>
              <w:t>12,790</w:t>
            </w:r>
          </w:p>
        </w:tc>
        <w:tc>
          <w:tcPr>
            <w:tcW w:w="1235" w:type="dxa"/>
          </w:tcPr>
          <w:p>
            <w:pPr>
              <w:pStyle w:val="TableParagraph"/>
              <w:rPr>
                <w:rFonts w:ascii="Times New Roman"/>
                <w:sz w:val="18"/>
              </w:rPr>
            </w:pPr>
          </w:p>
        </w:tc>
        <w:tc>
          <w:tcPr>
            <w:tcW w:w="864" w:type="dxa"/>
          </w:tcPr>
          <w:p>
            <w:pPr>
              <w:pStyle w:val="TableParagraph"/>
              <w:spacing w:line="247" w:lineRule="exact" w:before="2"/>
              <w:ind w:left="7"/>
              <w:rPr>
                <w:b/>
                <w:sz w:val="22"/>
              </w:rPr>
            </w:pPr>
            <w:r>
              <w:rPr>
                <w:b/>
                <w:spacing w:val="-2"/>
                <w:sz w:val="22"/>
              </w:rPr>
              <w:t>-2,355</w:t>
            </w:r>
          </w:p>
        </w:tc>
        <w:tc>
          <w:tcPr>
            <w:tcW w:w="884" w:type="dxa"/>
          </w:tcPr>
          <w:p>
            <w:pPr>
              <w:pStyle w:val="TableParagraph"/>
              <w:spacing w:line="247" w:lineRule="exact" w:before="2"/>
              <w:ind w:left="3"/>
              <w:rPr>
                <w:b/>
                <w:sz w:val="22"/>
              </w:rPr>
            </w:pPr>
            <w:r>
              <w:rPr>
                <w:b/>
                <w:spacing w:val="-4"/>
                <w:sz w:val="22"/>
              </w:rPr>
              <w:t>,027</w:t>
            </w:r>
          </w:p>
        </w:tc>
      </w:tr>
      <w:tr>
        <w:trPr>
          <w:trHeight w:val="268" w:hRule="atLeast"/>
        </w:trPr>
        <w:tc>
          <w:tcPr>
            <w:tcW w:w="618" w:type="dxa"/>
            <w:vMerge/>
            <w:tcBorders>
              <w:top w:val="nil"/>
            </w:tcBorders>
            <w:shd w:val="clear" w:color="auto" w:fill="DFDFDF"/>
          </w:tcPr>
          <w:p>
            <w:pPr>
              <w:rPr>
                <w:sz w:val="2"/>
                <w:szCs w:val="2"/>
              </w:rPr>
            </w:pPr>
          </w:p>
        </w:tc>
        <w:tc>
          <w:tcPr>
            <w:tcW w:w="1489" w:type="dxa"/>
            <w:shd w:val="clear" w:color="auto" w:fill="DFDFDF"/>
          </w:tcPr>
          <w:p>
            <w:pPr>
              <w:pStyle w:val="TableParagraph"/>
              <w:spacing w:line="247" w:lineRule="exact" w:before="1"/>
              <w:ind w:left="5"/>
              <w:rPr>
                <w:b/>
                <w:sz w:val="22"/>
              </w:rPr>
            </w:pPr>
            <w:r>
              <w:rPr>
                <w:b/>
                <w:spacing w:val="-5"/>
                <w:sz w:val="22"/>
              </w:rPr>
              <w:t>PAD</w:t>
            </w:r>
          </w:p>
        </w:tc>
        <w:tc>
          <w:tcPr>
            <w:tcW w:w="1115" w:type="dxa"/>
          </w:tcPr>
          <w:p>
            <w:pPr>
              <w:pStyle w:val="TableParagraph"/>
              <w:spacing w:line="247" w:lineRule="exact" w:before="1"/>
              <w:rPr>
                <w:b/>
                <w:sz w:val="22"/>
              </w:rPr>
            </w:pPr>
            <w:r>
              <w:rPr>
                <w:b/>
                <w:spacing w:val="-4"/>
                <w:sz w:val="22"/>
              </w:rPr>
              <w:t>,331</w:t>
            </w:r>
          </w:p>
        </w:tc>
        <w:tc>
          <w:tcPr>
            <w:tcW w:w="1129" w:type="dxa"/>
          </w:tcPr>
          <w:p>
            <w:pPr>
              <w:pStyle w:val="TableParagraph"/>
              <w:spacing w:line="247" w:lineRule="exact" w:before="1"/>
              <w:ind w:left="9"/>
              <w:rPr>
                <w:b/>
                <w:sz w:val="22"/>
              </w:rPr>
            </w:pPr>
            <w:r>
              <w:rPr>
                <w:b/>
                <w:spacing w:val="-4"/>
                <w:sz w:val="22"/>
              </w:rPr>
              <w:t>,112</w:t>
            </w:r>
          </w:p>
        </w:tc>
        <w:tc>
          <w:tcPr>
            <w:tcW w:w="1235" w:type="dxa"/>
          </w:tcPr>
          <w:p>
            <w:pPr>
              <w:pStyle w:val="TableParagraph"/>
              <w:spacing w:line="247" w:lineRule="exact" w:before="1"/>
              <w:ind w:left="3"/>
              <w:rPr>
                <w:b/>
                <w:sz w:val="22"/>
              </w:rPr>
            </w:pPr>
            <w:r>
              <w:rPr>
                <w:b/>
                <w:spacing w:val="-4"/>
                <w:sz w:val="22"/>
              </w:rPr>
              <w:t>,415</w:t>
            </w:r>
          </w:p>
        </w:tc>
        <w:tc>
          <w:tcPr>
            <w:tcW w:w="864" w:type="dxa"/>
          </w:tcPr>
          <w:p>
            <w:pPr>
              <w:pStyle w:val="TableParagraph"/>
              <w:spacing w:line="247" w:lineRule="exact" w:before="1"/>
              <w:ind w:left="7"/>
              <w:rPr>
                <w:b/>
                <w:sz w:val="22"/>
              </w:rPr>
            </w:pPr>
            <w:r>
              <w:rPr>
                <w:b/>
                <w:spacing w:val="-2"/>
                <w:sz w:val="22"/>
              </w:rPr>
              <w:t>2,939</w:t>
            </w:r>
          </w:p>
        </w:tc>
        <w:tc>
          <w:tcPr>
            <w:tcW w:w="884" w:type="dxa"/>
          </w:tcPr>
          <w:p>
            <w:pPr>
              <w:pStyle w:val="TableParagraph"/>
              <w:spacing w:line="247" w:lineRule="exact" w:before="1"/>
              <w:ind w:left="3"/>
              <w:rPr>
                <w:b/>
                <w:sz w:val="22"/>
              </w:rPr>
            </w:pPr>
            <w:r>
              <w:rPr>
                <w:b/>
                <w:spacing w:val="-4"/>
                <w:sz w:val="22"/>
              </w:rPr>
              <w:t>,007</w:t>
            </w:r>
          </w:p>
        </w:tc>
      </w:tr>
      <w:tr>
        <w:trPr>
          <w:trHeight w:val="537" w:hRule="atLeast"/>
        </w:trPr>
        <w:tc>
          <w:tcPr>
            <w:tcW w:w="618" w:type="dxa"/>
            <w:vMerge/>
            <w:tcBorders>
              <w:top w:val="nil"/>
            </w:tcBorders>
            <w:shd w:val="clear" w:color="auto" w:fill="DFDFDF"/>
          </w:tcPr>
          <w:p>
            <w:pPr>
              <w:rPr>
                <w:sz w:val="2"/>
                <w:szCs w:val="2"/>
              </w:rPr>
            </w:pPr>
          </w:p>
        </w:tc>
        <w:tc>
          <w:tcPr>
            <w:tcW w:w="1489" w:type="dxa"/>
            <w:shd w:val="clear" w:color="auto" w:fill="DFDFDF"/>
          </w:tcPr>
          <w:p>
            <w:pPr>
              <w:pStyle w:val="TableParagraph"/>
              <w:spacing w:line="264" w:lineRule="exact"/>
              <w:ind w:left="5" w:right="659"/>
              <w:rPr>
                <w:b/>
                <w:sz w:val="22"/>
              </w:rPr>
            </w:pPr>
            <w:r>
              <w:rPr>
                <w:b/>
                <w:spacing w:val="-2"/>
                <w:sz w:val="22"/>
              </w:rPr>
              <w:t>BELANJA MODAL</w:t>
            </w:r>
          </w:p>
        </w:tc>
        <w:tc>
          <w:tcPr>
            <w:tcW w:w="1115" w:type="dxa"/>
          </w:tcPr>
          <w:p>
            <w:pPr>
              <w:pStyle w:val="TableParagraph"/>
              <w:spacing w:before="6"/>
              <w:rPr>
                <w:b/>
                <w:sz w:val="22"/>
              </w:rPr>
            </w:pPr>
            <w:r>
              <w:rPr>
                <w:b/>
                <w:spacing w:val="-2"/>
                <w:sz w:val="22"/>
              </w:rPr>
              <w:t>1,035</w:t>
            </w:r>
          </w:p>
        </w:tc>
        <w:tc>
          <w:tcPr>
            <w:tcW w:w="1129" w:type="dxa"/>
          </w:tcPr>
          <w:p>
            <w:pPr>
              <w:pStyle w:val="TableParagraph"/>
              <w:spacing w:before="6"/>
              <w:ind w:left="9"/>
              <w:rPr>
                <w:b/>
                <w:sz w:val="22"/>
              </w:rPr>
            </w:pPr>
            <w:r>
              <w:rPr>
                <w:b/>
                <w:spacing w:val="-4"/>
                <w:sz w:val="22"/>
              </w:rPr>
              <w:t>,181</w:t>
            </w:r>
          </w:p>
        </w:tc>
        <w:tc>
          <w:tcPr>
            <w:tcW w:w="1235" w:type="dxa"/>
          </w:tcPr>
          <w:p>
            <w:pPr>
              <w:pStyle w:val="TableParagraph"/>
              <w:spacing w:before="6"/>
              <w:ind w:left="3"/>
              <w:rPr>
                <w:b/>
                <w:sz w:val="22"/>
              </w:rPr>
            </w:pPr>
            <w:r>
              <w:rPr>
                <w:b/>
                <w:spacing w:val="-4"/>
                <w:sz w:val="22"/>
              </w:rPr>
              <w:t>,806</w:t>
            </w:r>
          </w:p>
        </w:tc>
        <w:tc>
          <w:tcPr>
            <w:tcW w:w="864" w:type="dxa"/>
          </w:tcPr>
          <w:p>
            <w:pPr>
              <w:pStyle w:val="TableParagraph"/>
              <w:spacing w:before="6"/>
              <w:ind w:left="7"/>
              <w:rPr>
                <w:b/>
                <w:sz w:val="22"/>
              </w:rPr>
            </w:pPr>
            <w:r>
              <w:rPr>
                <w:b/>
                <w:spacing w:val="-2"/>
                <w:sz w:val="22"/>
              </w:rPr>
              <w:t>5,710</w:t>
            </w:r>
          </w:p>
        </w:tc>
        <w:tc>
          <w:tcPr>
            <w:tcW w:w="884" w:type="dxa"/>
          </w:tcPr>
          <w:p>
            <w:pPr>
              <w:pStyle w:val="TableParagraph"/>
              <w:spacing w:before="6"/>
              <w:ind w:left="3"/>
              <w:rPr>
                <w:b/>
                <w:sz w:val="22"/>
              </w:rPr>
            </w:pPr>
            <w:r>
              <w:rPr>
                <w:b/>
                <w:spacing w:val="-4"/>
                <w:sz w:val="22"/>
              </w:rPr>
              <w:t>,000</w:t>
            </w:r>
          </w:p>
        </w:tc>
      </w:tr>
    </w:tbl>
    <w:p>
      <w:pPr>
        <w:spacing w:before="5"/>
        <w:ind w:left="629" w:right="0" w:firstLine="0"/>
        <w:jc w:val="left"/>
        <w:rPr>
          <w:b/>
          <w:i/>
          <w:sz w:val="22"/>
        </w:rPr>
      </w:pPr>
      <w:r>
        <w:rPr>
          <w:b/>
          <w:i/>
          <w:sz w:val="22"/>
        </w:rPr>
        <w:t>Sumber</w:t>
      </w:r>
      <w:r>
        <w:rPr>
          <w:b/>
          <w:i/>
          <w:spacing w:val="-7"/>
          <w:sz w:val="22"/>
        </w:rPr>
        <w:t> </w:t>
      </w:r>
      <w:r>
        <w:rPr>
          <w:b/>
          <w:i/>
          <w:sz w:val="22"/>
        </w:rPr>
        <w:t>:</w:t>
      </w:r>
      <w:r>
        <w:rPr>
          <w:b/>
          <w:i/>
          <w:spacing w:val="-5"/>
          <w:sz w:val="22"/>
        </w:rPr>
        <w:t> </w:t>
      </w:r>
      <w:r>
        <w:rPr>
          <w:b/>
          <w:i/>
          <w:sz w:val="22"/>
        </w:rPr>
        <w:t>Hasil</w:t>
      </w:r>
      <w:r>
        <w:rPr>
          <w:b/>
          <w:i/>
          <w:spacing w:val="-2"/>
          <w:sz w:val="22"/>
        </w:rPr>
        <w:t> </w:t>
      </w:r>
      <w:r>
        <w:rPr>
          <w:b/>
          <w:i/>
          <w:sz w:val="22"/>
        </w:rPr>
        <w:t>Output</w:t>
      </w:r>
      <w:r>
        <w:rPr>
          <w:b/>
          <w:i/>
          <w:spacing w:val="-6"/>
          <w:sz w:val="22"/>
        </w:rPr>
        <w:t> </w:t>
      </w:r>
      <w:r>
        <w:rPr>
          <w:b/>
          <w:i/>
          <w:sz w:val="22"/>
        </w:rPr>
        <w:t>SPSS</w:t>
      </w:r>
      <w:r>
        <w:rPr>
          <w:b/>
          <w:i/>
          <w:spacing w:val="-3"/>
          <w:sz w:val="22"/>
        </w:rPr>
        <w:t> </w:t>
      </w:r>
      <w:r>
        <w:rPr>
          <w:b/>
          <w:i/>
          <w:spacing w:val="-5"/>
          <w:sz w:val="22"/>
        </w:rPr>
        <w:t>25</w:t>
      </w:r>
    </w:p>
    <w:p>
      <w:pPr>
        <w:pStyle w:val="BodyText"/>
        <w:spacing w:before="87"/>
        <w:rPr>
          <w:b/>
          <w:i/>
        </w:rPr>
      </w:pPr>
    </w:p>
    <w:p>
      <w:pPr>
        <w:pStyle w:val="BodyText"/>
        <w:ind w:left="119" w:right="4226"/>
      </w:pPr>
      <w:r>
        <w:rPr/>
        <w:t>Didasarkan</w:t>
      </w:r>
      <w:r>
        <w:rPr>
          <w:spacing w:val="-5"/>
        </w:rPr>
        <w:t> </w:t>
      </w:r>
      <w:r>
        <w:rPr/>
        <w:t>tabel</w:t>
      </w:r>
      <w:r>
        <w:rPr>
          <w:spacing w:val="-3"/>
        </w:rPr>
        <w:t> </w:t>
      </w:r>
      <w:r>
        <w:rPr/>
        <w:t>di</w:t>
      </w:r>
      <w:r>
        <w:rPr>
          <w:spacing w:val="-3"/>
        </w:rPr>
        <w:t> </w:t>
      </w:r>
      <w:r>
        <w:rPr/>
        <w:t>atas,</w:t>
      </w:r>
      <w:r>
        <w:rPr>
          <w:spacing w:val="-8"/>
        </w:rPr>
        <w:t> </w:t>
      </w:r>
      <w:r>
        <w:rPr/>
        <w:t>rumus</w:t>
      </w:r>
      <w:r>
        <w:rPr>
          <w:spacing w:val="-5"/>
        </w:rPr>
        <w:t> </w:t>
      </w:r>
      <w:r>
        <w:rPr/>
        <w:t>regresinya</w:t>
      </w:r>
      <w:r>
        <w:rPr>
          <w:spacing w:val="-5"/>
        </w:rPr>
        <w:t> </w:t>
      </w:r>
      <w:r>
        <w:rPr/>
        <w:t>yaitu: </w:t>
      </w:r>
      <w:r>
        <w:rPr>
          <w:position w:val="2"/>
        </w:rPr>
        <w:t>Y = -30,124 + 0,334X</w:t>
      </w:r>
      <w:r>
        <w:rPr>
          <w:sz w:val="14"/>
        </w:rPr>
        <w:t>1</w:t>
      </w:r>
      <w:r>
        <w:rPr>
          <w:position w:val="2"/>
        </w:rPr>
        <w:t>+ 1,035X</w:t>
      </w:r>
      <w:r>
        <w:rPr>
          <w:sz w:val="14"/>
        </w:rPr>
        <w:t>2</w:t>
      </w:r>
      <w:r>
        <w:rPr>
          <w:spacing w:val="38"/>
          <w:sz w:val="14"/>
        </w:rPr>
        <w:t> </w:t>
      </w:r>
      <w:r>
        <w:rPr>
          <w:position w:val="2"/>
        </w:rPr>
        <w:t>+ e</w:t>
      </w:r>
    </w:p>
    <w:p>
      <w:pPr>
        <w:pStyle w:val="BodyText"/>
        <w:spacing w:before="1"/>
        <w:rPr>
          <w:sz w:val="17"/>
        </w:rPr>
      </w:pPr>
    </w:p>
    <w:p>
      <w:pPr>
        <w:spacing w:after="0"/>
        <w:rPr>
          <w:sz w:val="17"/>
        </w:rPr>
        <w:sectPr>
          <w:type w:val="continuous"/>
          <w:pgSz w:w="11910" w:h="16840"/>
          <w:pgMar w:header="891" w:footer="1118" w:top="1640" w:bottom="1300" w:left="1580" w:right="1580"/>
        </w:sectPr>
      </w:pPr>
    </w:p>
    <w:p>
      <w:pPr>
        <w:pStyle w:val="Heading2"/>
        <w:spacing w:before="56"/>
      </w:pPr>
      <w:r>
        <w:rPr/>
        <w:t>Uji</w:t>
      </w:r>
      <w:r>
        <w:rPr>
          <w:spacing w:val="-9"/>
        </w:rPr>
        <w:t> </w:t>
      </w:r>
      <w:r>
        <w:rPr/>
        <w:t>Koefisien</w:t>
      </w:r>
      <w:r>
        <w:rPr>
          <w:spacing w:val="-5"/>
        </w:rPr>
        <w:t> </w:t>
      </w:r>
      <w:r>
        <w:rPr>
          <w:spacing w:val="-2"/>
        </w:rPr>
        <w:t>Determinasi</w:t>
      </w:r>
    </w:p>
    <w:p>
      <w:pPr>
        <w:spacing w:line="240" w:lineRule="auto" w:before="56"/>
        <w:rPr>
          <w:b/>
          <w:sz w:val="22"/>
        </w:rPr>
      </w:pPr>
      <w:r>
        <w:rPr/>
        <w:br w:type="column"/>
      </w:r>
      <w:r>
        <w:rPr>
          <w:b/>
          <w:sz w:val="22"/>
        </w:rPr>
      </w:r>
    </w:p>
    <w:p>
      <w:pPr>
        <w:pStyle w:val="Heading2"/>
        <w:ind w:right="3832" w:firstLine="211"/>
      </w:pPr>
      <w:r>
        <w:rPr>
          <w:color w:val="000104"/>
        </w:rPr>
        <w:t>Tabel 4 Hasil</w:t>
      </w:r>
      <w:r>
        <w:rPr>
          <w:color w:val="000104"/>
          <w:spacing w:val="-13"/>
        </w:rPr>
        <w:t> </w:t>
      </w:r>
      <w:r>
        <w:rPr>
          <w:color w:val="000104"/>
        </w:rPr>
        <w:t>Uji</w:t>
      </w:r>
      <w:r>
        <w:rPr>
          <w:color w:val="000104"/>
          <w:spacing w:val="27"/>
        </w:rPr>
        <w:t> </w:t>
      </w:r>
      <w:r>
        <w:rPr/>
        <w:t>R2</w:t>
      </w:r>
    </w:p>
    <w:p>
      <w:pPr>
        <w:spacing w:after="0"/>
        <w:sectPr>
          <w:type w:val="continuous"/>
          <w:pgSz w:w="11910" w:h="16840"/>
          <w:pgMar w:header="891" w:footer="1118" w:top="1640" w:bottom="1300" w:left="1580" w:right="1580"/>
          <w:cols w:num="2" w:equalWidth="0">
            <w:col w:w="2468" w:space="1244"/>
            <w:col w:w="5038"/>
          </w:cols>
        </w:sectPr>
      </w:pPr>
    </w:p>
    <w:p>
      <w:pPr>
        <w:pStyle w:val="BodyText"/>
        <w:spacing w:before="3"/>
        <w:rPr>
          <w:b/>
          <w:sz w:val="4"/>
        </w:rPr>
      </w:pPr>
    </w:p>
    <w:tbl>
      <w:tblPr>
        <w:tblW w:w="0" w:type="auto"/>
        <w:jc w:val="left"/>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2"/>
        <w:gridCol w:w="1099"/>
        <w:gridCol w:w="1435"/>
        <w:gridCol w:w="1637"/>
        <w:gridCol w:w="1647"/>
      </w:tblGrid>
      <w:tr>
        <w:trPr>
          <w:trHeight w:val="268" w:hRule="atLeast"/>
        </w:trPr>
        <w:tc>
          <w:tcPr>
            <w:tcW w:w="6970" w:type="dxa"/>
            <w:gridSpan w:val="5"/>
          </w:tcPr>
          <w:p>
            <w:pPr>
              <w:pStyle w:val="TableParagraph"/>
              <w:spacing w:line="247" w:lineRule="exact" w:before="2"/>
              <w:ind w:left="14"/>
              <w:jc w:val="center"/>
              <w:rPr>
                <w:sz w:val="22"/>
              </w:rPr>
            </w:pPr>
            <w:r>
              <w:rPr>
                <w:color w:val="000104"/>
                <w:sz w:val="22"/>
              </w:rPr>
              <w:t>Model</w:t>
            </w:r>
            <w:r>
              <w:rPr>
                <w:color w:val="000104"/>
                <w:spacing w:val="-5"/>
                <w:sz w:val="22"/>
              </w:rPr>
              <w:t> </w:t>
            </w:r>
            <w:r>
              <w:rPr>
                <w:color w:val="000104"/>
                <w:spacing w:val="-2"/>
                <w:sz w:val="22"/>
              </w:rPr>
              <w:t>Summary</w:t>
            </w:r>
          </w:p>
        </w:tc>
      </w:tr>
      <w:tr>
        <w:trPr>
          <w:trHeight w:val="537" w:hRule="atLeast"/>
        </w:trPr>
        <w:tc>
          <w:tcPr>
            <w:tcW w:w="1152" w:type="dxa"/>
          </w:tcPr>
          <w:p>
            <w:pPr>
              <w:pStyle w:val="TableParagraph"/>
              <w:spacing w:before="136"/>
              <w:ind w:left="287"/>
              <w:rPr>
                <w:sz w:val="22"/>
              </w:rPr>
            </w:pPr>
            <w:r>
              <w:rPr>
                <w:color w:val="25495F"/>
                <w:spacing w:val="-4"/>
                <w:sz w:val="22"/>
              </w:rPr>
              <w:t>Model</w:t>
            </w:r>
          </w:p>
        </w:tc>
        <w:tc>
          <w:tcPr>
            <w:tcW w:w="1099" w:type="dxa"/>
          </w:tcPr>
          <w:p>
            <w:pPr>
              <w:pStyle w:val="TableParagraph"/>
              <w:spacing w:before="136"/>
              <w:ind w:left="10"/>
              <w:jc w:val="center"/>
              <w:rPr>
                <w:sz w:val="22"/>
              </w:rPr>
            </w:pPr>
            <w:r>
              <w:rPr>
                <w:color w:val="25495F"/>
                <w:spacing w:val="-10"/>
                <w:sz w:val="22"/>
              </w:rPr>
              <w:t>R</w:t>
            </w:r>
          </w:p>
        </w:tc>
        <w:tc>
          <w:tcPr>
            <w:tcW w:w="1435" w:type="dxa"/>
          </w:tcPr>
          <w:p>
            <w:pPr>
              <w:pStyle w:val="TableParagraph"/>
              <w:spacing w:before="136"/>
              <w:ind w:left="317"/>
              <w:rPr>
                <w:sz w:val="22"/>
              </w:rPr>
            </w:pPr>
            <w:r>
              <w:rPr>
                <w:color w:val="25495F"/>
                <w:sz w:val="22"/>
              </w:rPr>
              <w:t>R</w:t>
            </w:r>
            <w:r>
              <w:rPr>
                <w:color w:val="25495F"/>
                <w:spacing w:val="-2"/>
                <w:sz w:val="22"/>
              </w:rPr>
              <w:t> Square</w:t>
            </w:r>
          </w:p>
        </w:tc>
        <w:tc>
          <w:tcPr>
            <w:tcW w:w="1637" w:type="dxa"/>
          </w:tcPr>
          <w:p>
            <w:pPr>
              <w:pStyle w:val="TableParagraph"/>
              <w:spacing w:line="270" w:lineRule="atLeast"/>
              <w:ind w:left="505" w:right="322" w:hanging="173"/>
              <w:rPr>
                <w:sz w:val="22"/>
              </w:rPr>
            </w:pPr>
            <w:r>
              <w:rPr>
                <w:color w:val="25495F"/>
                <w:sz w:val="22"/>
              </w:rPr>
              <w:t>Adjusted</w:t>
            </w:r>
            <w:r>
              <w:rPr>
                <w:color w:val="25495F"/>
                <w:spacing w:val="-13"/>
                <w:sz w:val="22"/>
              </w:rPr>
              <w:t> </w:t>
            </w:r>
            <w:r>
              <w:rPr>
                <w:color w:val="25495F"/>
                <w:sz w:val="22"/>
              </w:rPr>
              <w:t>R </w:t>
            </w:r>
            <w:r>
              <w:rPr>
                <w:color w:val="25495F"/>
                <w:spacing w:val="-2"/>
                <w:sz w:val="22"/>
              </w:rPr>
              <w:t>Square</w:t>
            </w:r>
          </w:p>
        </w:tc>
        <w:tc>
          <w:tcPr>
            <w:tcW w:w="1647" w:type="dxa"/>
          </w:tcPr>
          <w:p>
            <w:pPr>
              <w:pStyle w:val="TableParagraph"/>
              <w:spacing w:line="270" w:lineRule="atLeast"/>
              <w:ind w:left="433" w:hanging="322"/>
              <w:rPr>
                <w:sz w:val="22"/>
              </w:rPr>
            </w:pPr>
            <w:r>
              <w:rPr>
                <w:color w:val="25495F"/>
                <w:sz w:val="22"/>
              </w:rPr>
              <w:t>Std.</w:t>
            </w:r>
            <w:r>
              <w:rPr>
                <w:color w:val="25495F"/>
                <w:spacing w:val="-13"/>
                <w:sz w:val="22"/>
              </w:rPr>
              <w:t> </w:t>
            </w:r>
            <w:r>
              <w:rPr>
                <w:color w:val="25495F"/>
                <w:sz w:val="22"/>
              </w:rPr>
              <w:t>Error</w:t>
            </w:r>
            <w:r>
              <w:rPr>
                <w:color w:val="25495F"/>
                <w:spacing w:val="-12"/>
                <w:sz w:val="22"/>
              </w:rPr>
              <w:t> </w:t>
            </w:r>
            <w:r>
              <w:rPr>
                <w:color w:val="25495F"/>
                <w:sz w:val="22"/>
              </w:rPr>
              <w:t>of</w:t>
            </w:r>
            <w:r>
              <w:rPr>
                <w:color w:val="25495F"/>
                <w:spacing w:val="-13"/>
                <w:sz w:val="22"/>
              </w:rPr>
              <w:t> </w:t>
            </w:r>
            <w:r>
              <w:rPr>
                <w:color w:val="25495F"/>
                <w:sz w:val="22"/>
              </w:rPr>
              <w:t>the </w:t>
            </w:r>
            <w:r>
              <w:rPr>
                <w:color w:val="25495F"/>
                <w:spacing w:val="-2"/>
                <w:sz w:val="22"/>
              </w:rPr>
              <w:t>Estimate</w:t>
            </w:r>
          </w:p>
        </w:tc>
      </w:tr>
      <w:tr>
        <w:trPr>
          <w:trHeight w:val="265" w:hRule="atLeast"/>
        </w:trPr>
        <w:tc>
          <w:tcPr>
            <w:tcW w:w="1152" w:type="dxa"/>
            <w:shd w:val="clear" w:color="auto" w:fill="DFDFDF"/>
          </w:tcPr>
          <w:p>
            <w:pPr>
              <w:pStyle w:val="TableParagraph"/>
              <w:spacing w:line="246" w:lineRule="exact"/>
              <w:ind w:left="67"/>
              <w:rPr>
                <w:sz w:val="22"/>
              </w:rPr>
            </w:pPr>
            <w:r>
              <w:rPr>
                <w:color w:val="25495F"/>
                <w:spacing w:val="-10"/>
                <w:sz w:val="22"/>
              </w:rPr>
              <w:t>1</w:t>
            </w:r>
          </w:p>
        </w:tc>
        <w:tc>
          <w:tcPr>
            <w:tcW w:w="1099" w:type="dxa"/>
          </w:tcPr>
          <w:p>
            <w:pPr>
              <w:pStyle w:val="TableParagraph"/>
              <w:spacing w:line="246" w:lineRule="exact"/>
              <w:ind w:left="67"/>
              <w:rPr>
                <w:sz w:val="22"/>
              </w:rPr>
            </w:pPr>
            <w:r>
              <w:rPr>
                <w:color w:val="000104"/>
                <w:spacing w:val="-2"/>
                <w:sz w:val="22"/>
              </w:rPr>
              <w:t>,763</w:t>
            </w:r>
            <w:r>
              <w:rPr>
                <w:color w:val="000104"/>
                <w:spacing w:val="-2"/>
                <w:sz w:val="22"/>
                <w:vertAlign w:val="superscript"/>
              </w:rPr>
              <w:t>a</w:t>
            </w:r>
          </w:p>
        </w:tc>
        <w:tc>
          <w:tcPr>
            <w:tcW w:w="1435" w:type="dxa"/>
          </w:tcPr>
          <w:p>
            <w:pPr>
              <w:pStyle w:val="TableParagraph"/>
              <w:spacing w:line="246" w:lineRule="exact"/>
              <w:ind w:left="63"/>
              <w:rPr>
                <w:sz w:val="22"/>
              </w:rPr>
            </w:pPr>
            <w:r>
              <w:rPr>
                <w:color w:val="000104"/>
                <w:spacing w:val="-4"/>
                <w:sz w:val="22"/>
              </w:rPr>
              <w:t>,583</w:t>
            </w:r>
          </w:p>
        </w:tc>
        <w:tc>
          <w:tcPr>
            <w:tcW w:w="1637" w:type="dxa"/>
          </w:tcPr>
          <w:p>
            <w:pPr>
              <w:pStyle w:val="TableParagraph"/>
              <w:spacing w:line="246" w:lineRule="exact"/>
              <w:ind w:left="63"/>
              <w:rPr>
                <w:sz w:val="22"/>
              </w:rPr>
            </w:pPr>
            <w:r>
              <w:rPr>
                <w:color w:val="000104"/>
                <w:spacing w:val="-4"/>
                <w:sz w:val="22"/>
              </w:rPr>
              <w:t>,548</w:t>
            </w:r>
          </w:p>
        </w:tc>
        <w:tc>
          <w:tcPr>
            <w:tcW w:w="1647" w:type="dxa"/>
          </w:tcPr>
          <w:p>
            <w:pPr>
              <w:pStyle w:val="TableParagraph"/>
              <w:spacing w:line="246" w:lineRule="exact"/>
              <w:ind w:left="68"/>
              <w:rPr>
                <w:sz w:val="22"/>
              </w:rPr>
            </w:pPr>
            <w:r>
              <w:rPr>
                <w:color w:val="000104"/>
                <w:spacing w:val="-2"/>
                <w:sz w:val="22"/>
              </w:rPr>
              <w:t>8,81090</w:t>
            </w:r>
          </w:p>
        </w:tc>
      </w:tr>
    </w:tbl>
    <w:p>
      <w:pPr>
        <w:pStyle w:val="BodyText"/>
        <w:spacing w:before="3"/>
        <w:ind w:left="811"/>
      </w:pPr>
      <w:r>
        <w:rPr>
          <w:color w:val="000104"/>
        </w:rPr>
        <w:t>Predictors:</w:t>
      </w:r>
      <w:r>
        <w:rPr>
          <w:color w:val="000104"/>
          <w:spacing w:val="-9"/>
        </w:rPr>
        <w:t> </w:t>
      </w:r>
      <w:r>
        <w:rPr>
          <w:color w:val="000104"/>
        </w:rPr>
        <w:t>(Constant),</w:t>
      </w:r>
      <w:r>
        <w:rPr>
          <w:color w:val="000104"/>
          <w:spacing w:val="-8"/>
        </w:rPr>
        <w:t> </w:t>
      </w:r>
      <w:r>
        <w:rPr>
          <w:color w:val="000104"/>
        </w:rPr>
        <w:t>BELANJA</w:t>
      </w:r>
      <w:r>
        <w:rPr>
          <w:color w:val="000104"/>
          <w:spacing w:val="-7"/>
        </w:rPr>
        <w:t> </w:t>
      </w:r>
      <w:r>
        <w:rPr>
          <w:color w:val="000104"/>
        </w:rPr>
        <w:t>MODAL,</w:t>
      </w:r>
      <w:r>
        <w:rPr>
          <w:color w:val="000104"/>
          <w:spacing w:val="-9"/>
        </w:rPr>
        <w:t> </w:t>
      </w:r>
      <w:r>
        <w:rPr>
          <w:color w:val="000104"/>
          <w:spacing w:val="-5"/>
        </w:rPr>
        <w:t>PAD</w:t>
      </w:r>
    </w:p>
    <w:p>
      <w:pPr>
        <w:spacing w:before="0"/>
        <w:ind w:left="811" w:right="0" w:firstLine="0"/>
        <w:jc w:val="left"/>
        <w:rPr>
          <w:i/>
          <w:sz w:val="22"/>
        </w:rPr>
      </w:pPr>
      <w:r>
        <w:rPr>
          <w:i/>
          <w:sz w:val="22"/>
        </w:rPr>
        <w:t>Sumber</w:t>
      </w:r>
      <w:r>
        <w:rPr>
          <w:i/>
          <w:spacing w:val="-3"/>
          <w:sz w:val="22"/>
        </w:rPr>
        <w:t> </w:t>
      </w:r>
      <w:r>
        <w:rPr>
          <w:i/>
          <w:sz w:val="22"/>
        </w:rPr>
        <w:t>:</w:t>
      </w:r>
      <w:r>
        <w:rPr>
          <w:i/>
          <w:spacing w:val="-5"/>
          <w:sz w:val="22"/>
        </w:rPr>
        <w:t> </w:t>
      </w:r>
      <w:r>
        <w:rPr>
          <w:i/>
          <w:sz w:val="22"/>
        </w:rPr>
        <w:t>Hasil</w:t>
      </w:r>
      <w:r>
        <w:rPr>
          <w:i/>
          <w:spacing w:val="-2"/>
          <w:sz w:val="22"/>
        </w:rPr>
        <w:t> </w:t>
      </w:r>
      <w:r>
        <w:rPr>
          <w:i/>
          <w:sz w:val="22"/>
        </w:rPr>
        <w:t>Output</w:t>
      </w:r>
      <w:r>
        <w:rPr>
          <w:i/>
          <w:spacing w:val="-5"/>
          <w:sz w:val="22"/>
        </w:rPr>
        <w:t> </w:t>
      </w:r>
      <w:r>
        <w:rPr>
          <w:i/>
          <w:sz w:val="22"/>
        </w:rPr>
        <w:t>SPSS</w:t>
      </w:r>
      <w:r>
        <w:rPr>
          <w:i/>
          <w:spacing w:val="-2"/>
          <w:sz w:val="22"/>
        </w:rPr>
        <w:t> </w:t>
      </w:r>
      <w:r>
        <w:rPr>
          <w:i/>
          <w:spacing w:val="-5"/>
          <w:sz w:val="22"/>
        </w:rPr>
        <w:t>25</w:t>
      </w:r>
    </w:p>
    <w:tbl>
      <w:tblPr>
        <w:tblW w:w="0" w:type="auto"/>
        <w:jc w:val="left"/>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0"/>
        <w:gridCol w:w="1446"/>
        <w:gridCol w:w="1095"/>
        <w:gridCol w:w="1091"/>
        <w:gridCol w:w="971"/>
        <w:gridCol w:w="1082"/>
        <w:gridCol w:w="693"/>
        <w:gridCol w:w="165"/>
      </w:tblGrid>
      <w:tr>
        <w:trPr>
          <w:trHeight w:val="268" w:hRule="atLeast"/>
        </w:trPr>
        <w:tc>
          <w:tcPr>
            <w:tcW w:w="3141" w:type="dxa"/>
            <w:gridSpan w:val="3"/>
            <w:tcBorders>
              <w:left w:val="nil"/>
              <w:bottom w:val="single" w:sz="8" w:space="0" w:color="152935"/>
              <w:right w:val="single" w:sz="8" w:space="0" w:color="DFDFDF"/>
            </w:tcBorders>
          </w:tcPr>
          <w:p>
            <w:pPr>
              <w:pStyle w:val="TableParagraph"/>
              <w:spacing w:line="249" w:lineRule="exact"/>
              <w:ind w:right="900"/>
              <w:jc w:val="right"/>
              <w:rPr>
                <w:sz w:val="22"/>
              </w:rPr>
            </w:pPr>
            <w:r>
              <w:rPr>
                <w:color w:val="25495F"/>
                <w:spacing w:val="-10"/>
                <w:sz w:val="22"/>
              </w:rPr>
              <w:t>B</w:t>
            </w:r>
          </w:p>
        </w:tc>
        <w:tc>
          <w:tcPr>
            <w:tcW w:w="1091" w:type="dxa"/>
            <w:tcBorders>
              <w:left w:val="single" w:sz="8" w:space="0" w:color="DFDFDF"/>
              <w:bottom w:val="single" w:sz="8" w:space="0" w:color="152935"/>
              <w:right w:val="single" w:sz="8" w:space="0" w:color="DFDFDF"/>
            </w:tcBorders>
          </w:tcPr>
          <w:p>
            <w:pPr>
              <w:pStyle w:val="TableParagraph"/>
              <w:spacing w:line="249" w:lineRule="exact"/>
              <w:ind w:left="61"/>
              <w:rPr>
                <w:sz w:val="22"/>
              </w:rPr>
            </w:pPr>
            <w:r>
              <w:rPr>
                <w:color w:val="25495F"/>
                <w:sz w:val="22"/>
              </w:rPr>
              <w:t>Std.</w:t>
            </w:r>
            <w:r>
              <w:rPr>
                <w:color w:val="25495F"/>
                <w:spacing w:val="-5"/>
                <w:sz w:val="22"/>
              </w:rPr>
              <w:t> </w:t>
            </w:r>
            <w:r>
              <w:rPr>
                <w:color w:val="25495F"/>
                <w:spacing w:val="-2"/>
                <w:sz w:val="22"/>
              </w:rPr>
              <w:t>Error</w:t>
            </w:r>
          </w:p>
        </w:tc>
        <w:tc>
          <w:tcPr>
            <w:tcW w:w="971" w:type="dxa"/>
            <w:tcBorders>
              <w:left w:val="single" w:sz="8" w:space="0" w:color="DFDFDF"/>
              <w:bottom w:val="single" w:sz="8" w:space="0" w:color="152935"/>
              <w:right w:val="single" w:sz="8" w:space="0" w:color="DFDFDF"/>
            </w:tcBorders>
          </w:tcPr>
          <w:p>
            <w:pPr>
              <w:pStyle w:val="TableParagraph"/>
              <w:spacing w:line="249" w:lineRule="exact"/>
              <w:ind w:left="60"/>
              <w:rPr>
                <w:sz w:val="22"/>
              </w:rPr>
            </w:pPr>
            <w:r>
              <w:rPr>
                <w:color w:val="25495F"/>
                <w:spacing w:val="-4"/>
                <w:sz w:val="22"/>
              </w:rPr>
              <w:t>Beta</w:t>
            </w:r>
          </w:p>
        </w:tc>
        <w:tc>
          <w:tcPr>
            <w:tcW w:w="1082" w:type="dxa"/>
            <w:tcBorders>
              <w:left w:val="single" w:sz="8" w:space="0" w:color="DFDFDF"/>
              <w:bottom w:val="single" w:sz="8" w:space="0" w:color="152935"/>
              <w:right w:val="single" w:sz="8" w:space="0" w:color="DFDFDF"/>
            </w:tcBorders>
          </w:tcPr>
          <w:p>
            <w:pPr>
              <w:pStyle w:val="TableParagraph"/>
              <w:rPr>
                <w:rFonts w:ascii="Times New Roman"/>
                <w:sz w:val="18"/>
              </w:rPr>
            </w:pPr>
          </w:p>
        </w:tc>
        <w:tc>
          <w:tcPr>
            <w:tcW w:w="693" w:type="dxa"/>
            <w:tcBorders>
              <w:left w:val="single" w:sz="8" w:space="0" w:color="DFDFDF"/>
              <w:bottom w:val="single" w:sz="8" w:space="0" w:color="152935"/>
              <w:right w:val="nil"/>
            </w:tcBorders>
          </w:tcPr>
          <w:p>
            <w:pPr>
              <w:pStyle w:val="TableParagraph"/>
              <w:rPr>
                <w:rFonts w:ascii="Times New Roman"/>
                <w:sz w:val="18"/>
              </w:rPr>
            </w:pPr>
          </w:p>
        </w:tc>
        <w:tc>
          <w:tcPr>
            <w:tcW w:w="165" w:type="dxa"/>
            <w:tcBorders>
              <w:top w:val="nil"/>
              <w:left w:val="nil"/>
              <w:bottom w:val="single" w:sz="8" w:space="0" w:color="152935"/>
              <w:right w:val="nil"/>
            </w:tcBorders>
          </w:tcPr>
          <w:p>
            <w:pPr>
              <w:pStyle w:val="TableParagraph"/>
              <w:rPr>
                <w:rFonts w:ascii="Times New Roman"/>
                <w:sz w:val="18"/>
              </w:rPr>
            </w:pPr>
          </w:p>
        </w:tc>
      </w:tr>
      <w:tr>
        <w:trPr>
          <w:trHeight w:val="267" w:hRule="atLeast"/>
        </w:trPr>
        <w:tc>
          <w:tcPr>
            <w:tcW w:w="600" w:type="dxa"/>
            <w:vMerge w:val="restart"/>
            <w:tcBorders>
              <w:top w:val="single" w:sz="8" w:space="0" w:color="152935"/>
              <w:left w:val="nil"/>
              <w:bottom w:val="single" w:sz="8" w:space="0" w:color="152935"/>
              <w:right w:val="nil"/>
            </w:tcBorders>
            <w:shd w:val="clear" w:color="auto" w:fill="DFDFDF"/>
          </w:tcPr>
          <w:p>
            <w:pPr>
              <w:pStyle w:val="TableParagraph"/>
              <w:spacing w:line="264" w:lineRule="exact"/>
              <w:ind w:left="62"/>
              <w:rPr>
                <w:sz w:val="22"/>
              </w:rPr>
            </w:pPr>
            <w:r>
              <w:rPr>
                <w:color w:val="25495F"/>
                <w:spacing w:val="-10"/>
                <w:sz w:val="22"/>
              </w:rPr>
              <w:t>1</w:t>
            </w:r>
          </w:p>
        </w:tc>
        <w:tc>
          <w:tcPr>
            <w:tcW w:w="1446" w:type="dxa"/>
            <w:tcBorders>
              <w:top w:val="single" w:sz="8" w:space="0" w:color="152935"/>
              <w:left w:val="nil"/>
              <w:bottom w:val="single" w:sz="8" w:space="0" w:color="ADADAD"/>
              <w:right w:val="nil"/>
            </w:tcBorders>
            <w:shd w:val="clear" w:color="auto" w:fill="DFDFDF"/>
          </w:tcPr>
          <w:p>
            <w:pPr>
              <w:pStyle w:val="TableParagraph"/>
              <w:spacing w:line="248" w:lineRule="exact"/>
              <w:ind w:left="62"/>
              <w:rPr>
                <w:sz w:val="22"/>
              </w:rPr>
            </w:pPr>
            <w:r>
              <w:rPr>
                <w:color w:val="25495F"/>
                <w:spacing w:val="-2"/>
                <w:sz w:val="22"/>
              </w:rPr>
              <w:t>(Constant)</w:t>
            </w:r>
          </w:p>
        </w:tc>
        <w:tc>
          <w:tcPr>
            <w:tcW w:w="1095" w:type="dxa"/>
            <w:tcBorders>
              <w:top w:val="single" w:sz="8" w:space="0" w:color="152935"/>
              <w:left w:val="nil"/>
              <w:bottom w:val="single" w:sz="8" w:space="0" w:color="ADADAD"/>
              <w:right w:val="single" w:sz="8" w:space="0" w:color="DFDFDF"/>
            </w:tcBorders>
          </w:tcPr>
          <w:p>
            <w:pPr>
              <w:pStyle w:val="TableParagraph"/>
              <w:spacing w:line="248" w:lineRule="exact"/>
              <w:ind w:left="62"/>
              <w:rPr>
                <w:sz w:val="22"/>
              </w:rPr>
            </w:pPr>
            <w:r>
              <w:rPr>
                <w:color w:val="000104"/>
                <w:spacing w:val="-2"/>
                <w:sz w:val="22"/>
              </w:rPr>
              <w:t>-30,124</w:t>
            </w:r>
          </w:p>
        </w:tc>
        <w:tc>
          <w:tcPr>
            <w:tcW w:w="1091" w:type="dxa"/>
            <w:tcBorders>
              <w:top w:val="single" w:sz="8" w:space="0" w:color="152935"/>
              <w:left w:val="single" w:sz="8" w:space="0" w:color="DFDFDF"/>
              <w:bottom w:val="single" w:sz="8" w:space="0" w:color="ADADAD"/>
              <w:right w:val="single" w:sz="8" w:space="0" w:color="DFDFDF"/>
            </w:tcBorders>
          </w:tcPr>
          <w:p>
            <w:pPr>
              <w:pStyle w:val="TableParagraph"/>
              <w:spacing w:line="248" w:lineRule="exact"/>
              <w:ind w:left="61"/>
              <w:rPr>
                <w:sz w:val="22"/>
              </w:rPr>
            </w:pPr>
            <w:r>
              <w:rPr>
                <w:color w:val="000104"/>
                <w:spacing w:val="-2"/>
                <w:sz w:val="22"/>
              </w:rPr>
              <w:t>12,790</w:t>
            </w:r>
          </w:p>
        </w:tc>
        <w:tc>
          <w:tcPr>
            <w:tcW w:w="971" w:type="dxa"/>
            <w:tcBorders>
              <w:top w:val="single" w:sz="8" w:space="0" w:color="152935"/>
              <w:left w:val="single" w:sz="8" w:space="0" w:color="DFDFDF"/>
              <w:bottom w:val="single" w:sz="8" w:space="0" w:color="ADADAD"/>
              <w:right w:val="single" w:sz="8" w:space="0" w:color="DFDFDF"/>
            </w:tcBorders>
          </w:tcPr>
          <w:p>
            <w:pPr>
              <w:pStyle w:val="TableParagraph"/>
              <w:rPr>
                <w:rFonts w:ascii="Times New Roman"/>
                <w:sz w:val="18"/>
              </w:rPr>
            </w:pPr>
          </w:p>
        </w:tc>
        <w:tc>
          <w:tcPr>
            <w:tcW w:w="1082" w:type="dxa"/>
            <w:tcBorders>
              <w:top w:val="single" w:sz="8" w:space="0" w:color="152935"/>
              <w:left w:val="single" w:sz="8" w:space="0" w:color="DFDFDF"/>
              <w:bottom w:val="single" w:sz="8" w:space="0" w:color="ADADAD"/>
              <w:right w:val="single" w:sz="8" w:space="0" w:color="DFDFDF"/>
            </w:tcBorders>
          </w:tcPr>
          <w:p>
            <w:pPr>
              <w:pStyle w:val="TableParagraph"/>
              <w:spacing w:line="248" w:lineRule="exact"/>
              <w:ind w:left="59"/>
              <w:rPr>
                <w:sz w:val="22"/>
              </w:rPr>
            </w:pPr>
            <w:r>
              <w:rPr>
                <w:color w:val="000104"/>
                <w:spacing w:val="-2"/>
                <w:sz w:val="22"/>
              </w:rPr>
              <w:t>-2,355</w:t>
            </w:r>
          </w:p>
        </w:tc>
        <w:tc>
          <w:tcPr>
            <w:tcW w:w="858" w:type="dxa"/>
            <w:gridSpan w:val="2"/>
            <w:tcBorders>
              <w:top w:val="single" w:sz="8" w:space="0" w:color="152935"/>
              <w:left w:val="single" w:sz="8" w:space="0" w:color="DFDFDF"/>
              <w:bottom w:val="single" w:sz="8" w:space="0" w:color="ADADAD"/>
              <w:right w:val="nil"/>
            </w:tcBorders>
          </w:tcPr>
          <w:p>
            <w:pPr>
              <w:pStyle w:val="TableParagraph"/>
              <w:spacing w:line="248" w:lineRule="exact"/>
              <w:ind w:left="57"/>
              <w:rPr>
                <w:sz w:val="22"/>
              </w:rPr>
            </w:pPr>
            <w:r>
              <w:rPr>
                <w:color w:val="000104"/>
                <w:spacing w:val="-4"/>
                <w:sz w:val="22"/>
              </w:rPr>
              <w:t>,027</w:t>
            </w:r>
          </w:p>
        </w:tc>
      </w:tr>
      <w:tr>
        <w:trPr>
          <w:trHeight w:val="267" w:hRule="atLeast"/>
        </w:trPr>
        <w:tc>
          <w:tcPr>
            <w:tcW w:w="600" w:type="dxa"/>
            <w:vMerge/>
            <w:tcBorders>
              <w:top w:val="nil"/>
              <w:left w:val="nil"/>
              <w:bottom w:val="single" w:sz="8" w:space="0" w:color="152935"/>
              <w:right w:val="nil"/>
            </w:tcBorders>
            <w:shd w:val="clear" w:color="auto" w:fill="DFDFDF"/>
          </w:tcPr>
          <w:p>
            <w:pPr>
              <w:rPr>
                <w:sz w:val="2"/>
                <w:szCs w:val="2"/>
              </w:rPr>
            </w:pPr>
          </w:p>
        </w:tc>
        <w:tc>
          <w:tcPr>
            <w:tcW w:w="1446" w:type="dxa"/>
            <w:tcBorders>
              <w:top w:val="single" w:sz="8" w:space="0" w:color="ADADAD"/>
              <w:left w:val="nil"/>
              <w:bottom w:val="single" w:sz="8" w:space="0" w:color="ADADAD"/>
              <w:right w:val="nil"/>
            </w:tcBorders>
            <w:shd w:val="clear" w:color="auto" w:fill="DFDFDF"/>
          </w:tcPr>
          <w:p>
            <w:pPr>
              <w:pStyle w:val="TableParagraph"/>
              <w:spacing w:line="248" w:lineRule="exact"/>
              <w:ind w:left="62"/>
              <w:rPr>
                <w:sz w:val="22"/>
              </w:rPr>
            </w:pPr>
            <w:r>
              <w:rPr>
                <w:color w:val="25495F"/>
                <w:spacing w:val="-5"/>
                <w:sz w:val="22"/>
              </w:rPr>
              <w:t>PAD</w:t>
            </w:r>
          </w:p>
        </w:tc>
        <w:tc>
          <w:tcPr>
            <w:tcW w:w="1095" w:type="dxa"/>
            <w:tcBorders>
              <w:top w:val="single" w:sz="8" w:space="0" w:color="ADADAD"/>
              <w:left w:val="nil"/>
              <w:bottom w:val="single" w:sz="8" w:space="0" w:color="ADADAD"/>
              <w:right w:val="single" w:sz="8" w:space="0" w:color="DFDFDF"/>
            </w:tcBorders>
          </w:tcPr>
          <w:p>
            <w:pPr>
              <w:pStyle w:val="TableParagraph"/>
              <w:spacing w:line="248" w:lineRule="exact"/>
              <w:ind w:left="62"/>
              <w:rPr>
                <w:sz w:val="22"/>
              </w:rPr>
            </w:pPr>
            <w:r>
              <w:rPr>
                <w:color w:val="000104"/>
                <w:spacing w:val="-4"/>
                <w:sz w:val="22"/>
              </w:rPr>
              <w:t>,331</w:t>
            </w:r>
          </w:p>
        </w:tc>
        <w:tc>
          <w:tcPr>
            <w:tcW w:w="1091" w:type="dxa"/>
            <w:tcBorders>
              <w:top w:val="single" w:sz="8" w:space="0" w:color="ADADAD"/>
              <w:left w:val="single" w:sz="8" w:space="0" w:color="DFDFDF"/>
              <w:bottom w:val="single" w:sz="8" w:space="0" w:color="ADADAD"/>
              <w:right w:val="single" w:sz="8" w:space="0" w:color="DFDFDF"/>
            </w:tcBorders>
          </w:tcPr>
          <w:p>
            <w:pPr>
              <w:pStyle w:val="TableParagraph"/>
              <w:spacing w:line="248" w:lineRule="exact"/>
              <w:ind w:left="61"/>
              <w:rPr>
                <w:sz w:val="22"/>
              </w:rPr>
            </w:pPr>
            <w:r>
              <w:rPr>
                <w:color w:val="000104"/>
                <w:spacing w:val="-4"/>
                <w:sz w:val="22"/>
              </w:rPr>
              <w:t>,112</w:t>
            </w:r>
          </w:p>
        </w:tc>
        <w:tc>
          <w:tcPr>
            <w:tcW w:w="971" w:type="dxa"/>
            <w:tcBorders>
              <w:top w:val="single" w:sz="8" w:space="0" w:color="ADADAD"/>
              <w:left w:val="single" w:sz="8" w:space="0" w:color="DFDFDF"/>
              <w:bottom w:val="single" w:sz="8" w:space="0" w:color="ADADAD"/>
              <w:right w:val="single" w:sz="8" w:space="0" w:color="DFDFDF"/>
            </w:tcBorders>
          </w:tcPr>
          <w:p>
            <w:pPr>
              <w:pStyle w:val="TableParagraph"/>
              <w:spacing w:line="248" w:lineRule="exact"/>
              <w:ind w:left="60"/>
              <w:rPr>
                <w:sz w:val="22"/>
              </w:rPr>
            </w:pPr>
            <w:r>
              <w:rPr>
                <w:color w:val="000104"/>
                <w:spacing w:val="-4"/>
                <w:sz w:val="22"/>
              </w:rPr>
              <w:t>,415</w:t>
            </w:r>
          </w:p>
        </w:tc>
        <w:tc>
          <w:tcPr>
            <w:tcW w:w="1082" w:type="dxa"/>
            <w:tcBorders>
              <w:top w:val="single" w:sz="8" w:space="0" w:color="ADADAD"/>
              <w:left w:val="single" w:sz="8" w:space="0" w:color="DFDFDF"/>
              <w:bottom w:val="single" w:sz="8" w:space="0" w:color="ADADAD"/>
              <w:right w:val="single" w:sz="8" w:space="0" w:color="DFDFDF"/>
            </w:tcBorders>
          </w:tcPr>
          <w:p>
            <w:pPr>
              <w:pStyle w:val="TableParagraph"/>
              <w:spacing w:line="248" w:lineRule="exact"/>
              <w:ind w:left="59"/>
              <w:rPr>
                <w:sz w:val="22"/>
              </w:rPr>
            </w:pPr>
            <w:r>
              <w:rPr>
                <w:color w:val="000104"/>
                <w:spacing w:val="-2"/>
                <w:sz w:val="22"/>
              </w:rPr>
              <w:t>2,939</w:t>
            </w:r>
          </w:p>
        </w:tc>
        <w:tc>
          <w:tcPr>
            <w:tcW w:w="858" w:type="dxa"/>
            <w:gridSpan w:val="2"/>
            <w:tcBorders>
              <w:top w:val="single" w:sz="8" w:space="0" w:color="ADADAD"/>
              <w:left w:val="single" w:sz="8" w:space="0" w:color="DFDFDF"/>
              <w:bottom w:val="single" w:sz="8" w:space="0" w:color="ADADAD"/>
              <w:right w:val="nil"/>
            </w:tcBorders>
          </w:tcPr>
          <w:p>
            <w:pPr>
              <w:pStyle w:val="TableParagraph"/>
              <w:spacing w:line="248" w:lineRule="exact"/>
              <w:ind w:left="57"/>
              <w:rPr>
                <w:sz w:val="22"/>
              </w:rPr>
            </w:pPr>
            <w:r>
              <w:rPr>
                <w:color w:val="000104"/>
                <w:spacing w:val="-4"/>
                <w:sz w:val="22"/>
              </w:rPr>
              <w:t>,007</w:t>
            </w:r>
          </w:p>
        </w:tc>
      </w:tr>
    </w:tbl>
    <w:p>
      <w:pPr>
        <w:spacing w:after="0" w:line="248" w:lineRule="exact"/>
        <w:rPr>
          <w:sz w:val="22"/>
        </w:rPr>
        <w:sectPr>
          <w:type w:val="continuous"/>
          <w:pgSz w:w="11910" w:h="16840"/>
          <w:pgMar w:header="891" w:footer="1118" w:top="1640" w:bottom="1300" w:left="1580" w:right="1580"/>
        </w:sectPr>
      </w:pPr>
    </w:p>
    <w:p>
      <w:pPr>
        <w:pStyle w:val="BodyText"/>
        <w:spacing w:before="7"/>
        <w:rPr>
          <w:i/>
          <w:sz w:val="3"/>
        </w:rPr>
      </w:pPr>
    </w:p>
    <w:tbl>
      <w:tblPr>
        <w:tblW w:w="0" w:type="auto"/>
        <w:jc w:val="left"/>
        <w:tblInd w:w="818" w:type="dxa"/>
        <w:tblBorders>
          <w:top w:val="single" w:sz="12" w:space="0" w:color="ADADAD"/>
          <w:left w:val="single" w:sz="12" w:space="0" w:color="ADADAD"/>
          <w:bottom w:val="single" w:sz="12" w:space="0" w:color="ADADAD"/>
          <w:right w:val="single" w:sz="12" w:space="0" w:color="ADADAD"/>
          <w:insideH w:val="single" w:sz="12" w:space="0" w:color="ADADAD"/>
          <w:insideV w:val="single" w:sz="12" w:space="0" w:color="ADADAD"/>
        </w:tblBorders>
        <w:tblLayout w:type="fixed"/>
        <w:tblCellMar>
          <w:top w:w="0" w:type="dxa"/>
          <w:left w:w="0" w:type="dxa"/>
          <w:bottom w:w="0" w:type="dxa"/>
          <w:right w:w="0" w:type="dxa"/>
        </w:tblCellMar>
        <w:tblLook w:val="01E0"/>
      </w:tblPr>
      <w:tblGrid>
        <w:gridCol w:w="2046"/>
        <w:gridCol w:w="1095"/>
        <w:gridCol w:w="1091"/>
        <w:gridCol w:w="971"/>
        <w:gridCol w:w="1082"/>
        <w:gridCol w:w="856"/>
      </w:tblGrid>
      <w:tr>
        <w:trPr>
          <w:trHeight w:val="541" w:hRule="atLeast"/>
        </w:trPr>
        <w:tc>
          <w:tcPr>
            <w:tcW w:w="2046" w:type="dxa"/>
            <w:tcBorders>
              <w:left w:val="nil"/>
              <w:bottom w:val="single" w:sz="8" w:space="0" w:color="152935"/>
              <w:right w:val="nil"/>
            </w:tcBorders>
            <w:shd w:val="clear" w:color="auto" w:fill="DFDFDF"/>
          </w:tcPr>
          <w:p>
            <w:pPr>
              <w:pStyle w:val="TableParagraph"/>
              <w:spacing w:line="270" w:lineRule="atLeast"/>
              <w:ind w:left="662" w:right="592"/>
              <w:rPr>
                <w:sz w:val="22"/>
              </w:rPr>
            </w:pPr>
            <w:r>
              <w:rPr>
                <w:color w:val="25495F"/>
                <w:spacing w:val="-2"/>
                <w:sz w:val="22"/>
              </w:rPr>
              <w:t>BELANJA MODAL</w:t>
            </w:r>
          </w:p>
        </w:tc>
        <w:tc>
          <w:tcPr>
            <w:tcW w:w="1095" w:type="dxa"/>
            <w:tcBorders>
              <w:left w:val="nil"/>
              <w:bottom w:val="single" w:sz="8" w:space="0" w:color="152935"/>
              <w:right w:val="single" w:sz="8" w:space="0" w:color="DFDFDF"/>
            </w:tcBorders>
          </w:tcPr>
          <w:p>
            <w:pPr>
              <w:pStyle w:val="TableParagraph"/>
              <w:spacing w:before="6"/>
              <w:ind w:left="62"/>
              <w:rPr>
                <w:sz w:val="22"/>
              </w:rPr>
            </w:pPr>
            <w:r>
              <w:rPr>
                <w:color w:val="000104"/>
                <w:spacing w:val="-2"/>
                <w:sz w:val="22"/>
              </w:rPr>
              <w:t>1,035</w:t>
            </w:r>
          </w:p>
        </w:tc>
        <w:tc>
          <w:tcPr>
            <w:tcW w:w="1091" w:type="dxa"/>
            <w:tcBorders>
              <w:left w:val="single" w:sz="8" w:space="0" w:color="DFDFDF"/>
              <w:bottom w:val="single" w:sz="8" w:space="0" w:color="152935"/>
              <w:right w:val="single" w:sz="8" w:space="0" w:color="DFDFDF"/>
            </w:tcBorders>
          </w:tcPr>
          <w:p>
            <w:pPr>
              <w:pStyle w:val="TableParagraph"/>
              <w:spacing w:before="6"/>
              <w:ind w:left="61"/>
              <w:rPr>
                <w:sz w:val="22"/>
              </w:rPr>
            </w:pPr>
            <w:r>
              <w:rPr>
                <w:color w:val="000104"/>
                <w:spacing w:val="-4"/>
                <w:sz w:val="22"/>
              </w:rPr>
              <w:t>,181</w:t>
            </w:r>
          </w:p>
        </w:tc>
        <w:tc>
          <w:tcPr>
            <w:tcW w:w="971" w:type="dxa"/>
            <w:tcBorders>
              <w:left w:val="single" w:sz="8" w:space="0" w:color="DFDFDF"/>
              <w:bottom w:val="single" w:sz="8" w:space="0" w:color="152935"/>
              <w:right w:val="single" w:sz="8" w:space="0" w:color="DFDFDF"/>
            </w:tcBorders>
          </w:tcPr>
          <w:p>
            <w:pPr>
              <w:pStyle w:val="TableParagraph"/>
              <w:spacing w:before="6"/>
              <w:ind w:left="60"/>
              <w:rPr>
                <w:sz w:val="22"/>
              </w:rPr>
            </w:pPr>
            <w:r>
              <w:rPr>
                <w:color w:val="000104"/>
                <w:spacing w:val="-4"/>
                <w:sz w:val="22"/>
              </w:rPr>
              <w:t>,806</w:t>
            </w:r>
          </w:p>
        </w:tc>
        <w:tc>
          <w:tcPr>
            <w:tcW w:w="1082" w:type="dxa"/>
            <w:tcBorders>
              <w:left w:val="single" w:sz="8" w:space="0" w:color="DFDFDF"/>
              <w:bottom w:val="single" w:sz="8" w:space="0" w:color="152935"/>
              <w:right w:val="single" w:sz="8" w:space="0" w:color="DFDFDF"/>
            </w:tcBorders>
          </w:tcPr>
          <w:p>
            <w:pPr>
              <w:pStyle w:val="TableParagraph"/>
              <w:spacing w:before="6"/>
              <w:ind w:left="59"/>
              <w:rPr>
                <w:sz w:val="22"/>
              </w:rPr>
            </w:pPr>
            <w:r>
              <w:rPr>
                <w:color w:val="000104"/>
                <w:spacing w:val="-2"/>
                <w:sz w:val="22"/>
              </w:rPr>
              <w:t>5,710</w:t>
            </w:r>
          </w:p>
        </w:tc>
        <w:tc>
          <w:tcPr>
            <w:tcW w:w="856" w:type="dxa"/>
            <w:tcBorders>
              <w:left w:val="single" w:sz="8" w:space="0" w:color="DFDFDF"/>
              <w:bottom w:val="single" w:sz="8" w:space="0" w:color="152935"/>
              <w:right w:val="nil"/>
            </w:tcBorders>
          </w:tcPr>
          <w:p>
            <w:pPr>
              <w:pStyle w:val="TableParagraph"/>
              <w:spacing w:before="6"/>
              <w:ind w:left="57"/>
              <w:rPr>
                <w:sz w:val="22"/>
              </w:rPr>
            </w:pPr>
            <w:r>
              <w:rPr>
                <w:color w:val="000104"/>
                <w:spacing w:val="-4"/>
                <w:sz w:val="22"/>
              </w:rPr>
              <w:t>,000</w:t>
            </w:r>
          </w:p>
        </w:tc>
      </w:tr>
    </w:tbl>
    <w:p>
      <w:pPr>
        <w:spacing w:before="2"/>
        <w:ind w:left="811" w:right="0" w:firstLine="0"/>
        <w:jc w:val="left"/>
        <w:rPr>
          <w:i/>
          <w:sz w:val="22"/>
        </w:rPr>
      </w:pPr>
      <w:r>
        <w:rPr>
          <w:i/>
          <w:sz w:val="22"/>
        </w:rPr>
        <w:t>Sumber</w:t>
      </w:r>
      <w:r>
        <w:rPr>
          <w:i/>
          <w:spacing w:val="-3"/>
          <w:sz w:val="22"/>
        </w:rPr>
        <w:t> </w:t>
      </w:r>
      <w:r>
        <w:rPr>
          <w:i/>
          <w:sz w:val="22"/>
        </w:rPr>
        <w:t>:</w:t>
      </w:r>
      <w:r>
        <w:rPr>
          <w:i/>
          <w:spacing w:val="-5"/>
          <w:sz w:val="22"/>
        </w:rPr>
        <w:t> </w:t>
      </w:r>
      <w:r>
        <w:rPr>
          <w:i/>
          <w:sz w:val="22"/>
        </w:rPr>
        <w:t>Hasil</w:t>
      </w:r>
      <w:r>
        <w:rPr>
          <w:i/>
          <w:spacing w:val="-2"/>
          <w:sz w:val="22"/>
        </w:rPr>
        <w:t> </w:t>
      </w:r>
      <w:r>
        <w:rPr>
          <w:i/>
          <w:sz w:val="22"/>
        </w:rPr>
        <w:t>Output</w:t>
      </w:r>
      <w:r>
        <w:rPr>
          <w:i/>
          <w:spacing w:val="-5"/>
          <w:sz w:val="22"/>
        </w:rPr>
        <w:t> </w:t>
      </w:r>
      <w:r>
        <w:rPr>
          <w:i/>
          <w:sz w:val="22"/>
        </w:rPr>
        <w:t>SPSS</w:t>
      </w:r>
      <w:r>
        <w:rPr>
          <w:i/>
          <w:spacing w:val="-2"/>
          <w:sz w:val="22"/>
        </w:rPr>
        <w:t> </w:t>
      </w:r>
      <w:r>
        <w:rPr>
          <w:i/>
          <w:spacing w:val="-5"/>
          <w:sz w:val="22"/>
        </w:rPr>
        <w:t>25</w:t>
      </w:r>
    </w:p>
    <w:p>
      <w:pPr>
        <w:pStyle w:val="BodyText"/>
        <w:spacing w:before="217"/>
        <w:rPr>
          <w:i/>
        </w:rPr>
      </w:pPr>
    </w:p>
    <w:p>
      <w:pPr>
        <w:pStyle w:val="BodyText"/>
        <w:ind w:left="119" w:right="119"/>
        <w:jc w:val="both"/>
      </w:pPr>
      <w:r>
        <w:rPr/>
        <w:t>Tabel 3 menunjukan nilai koefisien determinasi, diperoleh nilai </w:t>
      </w:r>
      <w:r>
        <w:rPr>
          <w:i/>
        </w:rPr>
        <w:t>adjust R.Square </w:t>
      </w:r>
      <w:r>
        <w:rPr/>
        <w:t>0,583, maka variabel bebas untuk menjelaskan variabel terikatnya 58,3 % dan lebihnya 41,7% diterangkan variabel lainnya.</w:t>
      </w:r>
    </w:p>
    <w:p>
      <w:pPr>
        <w:pStyle w:val="BodyText"/>
        <w:spacing w:before="1"/>
      </w:pPr>
    </w:p>
    <w:p>
      <w:pPr>
        <w:pStyle w:val="Heading2"/>
        <w:spacing w:line="268" w:lineRule="exact"/>
      </w:pPr>
      <w:r>
        <w:rPr/>
        <w:t>Hasil</w:t>
      </w:r>
      <w:r>
        <w:rPr>
          <w:spacing w:val="-7"/>
        </w:rPr>
        <w:t> </w:t>
      </w:r>
      <w:r>
        <w:rPr/>
        <w:t>Uji</w:t>
      </w:r>
      <w:r>
        <w:rPr>
          <w:spacing w:val="-6"/>
        </w:rPr>
        <w:t> </w:t>
      </w:r>
      <w:r>
        <w:rPr>
          <w:spacing w:val="-2"/>
        </w:rPr>
        <w:t>Hipotesis</w:t>
      </w:r>
    </w:p>
    <w:p>
      <w:pPr>
        <w:pStyle w:val="BodyText"/>
        <w:ind w:left="119" w:firstLine="629"/>
      </w:pPr>
      <w:r>
        <w:rPr>
          <w:position w:val="2"/>
        </w:rPr>
        <w:t>Variabel</w:t>
      </w:r>
      <w:r>
        <w:rPr>
          <w:spacing w:val="-12"/>
          <w:position w:val="2"/>
        </w:rPr>
        <w:t> </w:t>
      </w:r>
      <w:r>
        <w:rPr>
          <w:position w:val="2"/>
        </w:rPr>
        <w:t>PAD</w:t>
      </w:r>
      <w:r>
        <w:rPr>
          <w:spacing w:val="-13"/>
          <w:position w:val="2"/>
        </w:rPr>
        <w:t> </w:t>
      </w:r>
      <w:r>
        <w:rPr>
          <w:position w:val="2"/>
        </w:rPr>
        <w:t>menunjukan</w:t>
      </w:r>
      <w:r>
        <w:rPr>
          <w:spacing w:val="-13"/>
          <w:position w:val="2"/>
        </w:rPr>
        <w:t> </w:t>
      </w:r>
      <w:r>
        <w:rPr>
          <w:position w:val="2"/>
        </w:rPr>
        <w:t>nilai</w:t>
      </w:r>
      <w:r>
        <w:rPr>
          <w:spacing w:val="-11"/>
          <w:position w:val="2"/>
        </w:rPr>
        <w:t> </w:t>
      </w:r>
      <w:r>
        <w:rPr>
          <w:position w:val="2"/>
        </w:rPr>
        <w:t>t-</w:t>
      </w:r>
      <w:r>
        <w:rPr>
          <w:sz w:val="14"/>
        </w:rPr>
        <w:t>hitung</w:t>
      </w:r>
      <w:r>
        <w:rPr>
          <w:spacing w:val="8"/>
          <w:sz w:val="14"/>
        </w:rPr>
        <w:t> </w:t>
      </w:r>
      <w:r>
        <w:rPr>
          <w:position w:val="2"/>
        </w:rPr>
        <w:t>2,939</w:t>
      </w:r>
      <w:r>
        <w:rPr>
          <w:spacing w:val="-10"/>
          <w:position w:val="2"/>
        </w:rPr>
        <w:t> </w:t>
      </w:r>
      <w:r>
        <w:rPr>
          <w:position w:val="2"/>
        </w:rPr>
        <w:t>&gt;</w:t>
      </w:r>
      <w:r>
        <w:rPr>
          <w:spacing w:val="-8"/>
          <w:position w:val="2"/>
        </w:rPr>
        <w:t> </w:t>
      </w:r>
      <w:r>
        <w:rPr>
          <w:position w:val="2"/>
        </w:rPr>
        <w:t>t-</w:t>
      </w:r>
      <w:r>
        <w:rPr>
          <w:sz w:val="14"/>
        </w:rPr>
        <w:t>tabel</w:t>
      </w:r>
      <w:r>
        <w:rPr>
          <w:spacing w:val="12"/>
          <w:sz w:val="14"/>
        </w:rPr>
        <w:t> </w:t>
      </w:r>
      <w:r>
        <w:rPr>
          <w:position w:val="2"/>
        </w:rPr>
        <w:t>2,059,</w:t>
      </w:r>
      <w:r>
        <w:rPr>
          <w:spacing w:val="-14"/>
          <w:position w:val="2"/>
        </w:rPr>
        <w:t> </w:t>
      </w:r>
      <w:r>
        <w:rPr>
          <w:position w:val="2"/>
        </w:rPr>
        <w:t>dan</w:t>
      </w:r>
      <w:r>
        <w:rPr>
          <w:spacing w:val="-13"/>
          <w:position w:val="2"/>
        </w:rPr>
        <w:t> </w:t>
      </w:r>
      <w:r>
        <w:rPr>
          <w:position w:val="2"/>
        </w:rPr>
        <w:t>nilai</w:t>
      </w:r>
      <w:r>
        <w:rPr>
          <w:spacing w:val="-11"/>
          <w:position w:val="2"/>
        </w:rPr>
        <w:t> </w:t>
      </w:r>
      <w:r>
        <w:rPr>
          <w:position w:val="2"/>
        </w:rPr>
        <w:t>signifikasi</w:t>
      </w:r>
      <w:r>
        <w:rPr>
          <w:spacing w:val="-11"/>
          <w:position w:val="2"/>
        </w:rPr>
        <w:t> </w:t>
      </w:r>
      <w:r>
        <w:rPr>
          <w:position w:val="2"/>
        </w:rPr>
        <w:t>0,007</w:t>
      </w:r>
      <w:r>
        <w:rPr>
          <w:spacing w:val="-10"/>
          <w:position w:val="2"/>
        </w:rPr>
        <w:t> </w:t>
      </w:r>
      <w:r>
        <w:rPr>
          <w:position w:val="2"/>
        </w:rPr>
        <w:t>&lt;</w:t>
      </w:r>
      <w:r>
        <w:rPr>
          <w:spacing w:val="-8"/>
          <w:position w:val="2"/>
        </w:rPr>
        <w:t> </w:t>
      </w:r>
      <w:r>
        <w:rPr>
          <w:position w:val="2"/>
        </w:rPr>
        <w:t>0,05 </w:t>
      </w:r>
      <w:r>
        <w:rPr/>
        <w:t>maka PAD mempengaruhi signifikan pada tingkat kemandirian.</w:t>
      </w:r>
    </w:p>
    <w:p>
      <w:pPr>
        <w:pStyle w:val="BodyText"/>
        <w:ind w:left="119"/>
      </w:pPr>
      <w:r>
        <w:rPr>
          <w:spacing w:val="-2"/>
          <w:position w:val="2"/>
        </w:rPr>
        <w:t>Variabel</w:t>
      </w:r>
      <w:r>
        <w:rPr>
          <w:spacing w:val="-1"/>
          <w:position w:val="2"/>
        </w:rPr>
        <w:t> </w:t>
      </w:r>
      <w:r>
        <w:rPr>
          <w:spacing w:val="-2"/>
          <w:position w:val="2"/>
        </w:rPr>
        <w:t>belanja</w:t>
      </w:r>
      <w:r>
        <w:rPr>
          <w:spacing w:val="-4"/>
          <w:position w:val="2"/>
        </w:rPr>
        <w:t> </w:t>
      </w:r>
      <w:r>
        <w:rPr>
          <w:spacing w:val="-2"/>
          <w:position w:val="2"/>
        </w:rPr>
        <w:t>modal</w:t>
      </w:r>
      <w:r>
        <w:rPr>
          <w:spacing w:val="-8"/>
          <w:position w:val="2"/>
        </w:rPr>
        <w:t> </w:t>
      </w:r>
      <w:r>
        <w:rPr>
          <w:spacing w:val="-2"/>
          <w:position w:val="2"/>
        </w:rPr>
        <w:t>menunjukan</w:t>
      </w:r>
      <w:r>
        <w:rPr>
          <w:spacing w:val="-6"/>
          <w:position w:val="2"/>
        </w:rPr>
        <w:t> </w:t>
      </w:r>
      <w:r>
        <w:rPr>
          <w:spacing w:val="-2"/>
          <w:position w:val="2"/>
        </w:rPr>
        <w:t>nilai</w:t>
      </w:r>
      <w:r>
        <w:rPr>
          <w:spacing w:val="-1"/>
          <w:position w:val="2"/>
        </w:rPr>
        <w:t> </w:t>
      </w:r>
      <w:r>
        <w:rPr>
          <w:spacing w:val="-2"/>
          <w:position w:val="2"/>
        </w:rPr>
        <w:t>t-</w:t>
      </w:r>
      <w:r>
        <w:rPr>
          <w:spacing w:val="-2"/>
          <w:sz w:val="14"/>
        </w:rPr>
        <w:t>hitung</w:t>
      </w:r>
      <w:r>
        <w:rPr>
          <w:spacing w:val="5"/>
          <w:sz w:val="14"/>
        </w:rPr>
        <w:t> </w:t>
      </w:r>
      <w:r>
        <w:rPr>
          <w:spacing w:val="-2"/>
          <w:position w:val="2"/>
        </w:rPr>
        <w:t>5,710</w:t>
      </w:r>
      <w:r>
        <w:rPr>
          <w:spacing w:val="-6"/>
          <w:position w:val="2"/>
        </w:rPr>
        <w:t> </w:t>
      </w:r>
      <w:r>
        <w:rPr>
          <w:spacing w:val="-2"/>
          <w:position w:val="2"/>
        </w:rPr>
        <w:t>&gt;</w:t>
      </w:r>
      <w:r>
        <w:rPr>
          <w:spacing w:val="-3"/>
          <w:position w:val="2"/>
        </w:rPr>
        <w:t> </w:t>
      </w:r>
      <w:r>
        <w:rPr>
          <w:spacing w:val="-2"/>
          <w:position w:val="2"/>
        </w:rPr>
        <w:t>t-</w:t>
      </w:r>
      <w:r>
        <w:rPr>
          <w:spacing w:val="-2"/>
          <w:sz w:val="14"/>
        </w:rPr>
        <w:t>tabel</w:t>
      </w:r>
      <w:r>
        <w:rPr>
          <w:spacing w:val="18"/>
          <w:sz w:val="14"/>
        </w:rPr>
        <w:t> </w:t>
      </w:r>
      <w:r>
        <w:rPr>
          <w:spacing w:val="-2"/>
          <w:position w:val="2"/>
        </w:rPr>
        <w:t>2,059</w:t>
      </w:r>
      <w:r>
        <w:rPr>
          <w:spacing w:val="-6"/>
          <w:position w:val="2"/>
        </w:rPr>
        <w:t> </w:t>
      </w:r>
      <w:r>
        <w:rPr>
          <w:spacing w:val="-2"/>
          <w:position w:val="2"/>
        </w:rPr>
        <w:t>dan</w:t>
      </w:r>
      <w:r>
        <w:rPr>
          <w:spacing w:val="1"/>
          <w:position w:val="2"/>
        </w:rPr>
        <w:t> </w:t>
      </w:r>
      <w:r>
        <w:rPr>
          <w:spacing w:val="-2"/>
          <w:position w:val="2"/>
        </w:rPr>
        <w:t>nilai signifikansinya</w:t>
      </w:r>
      <w:r>
        <w:rPr>
          <w:spacing w:val="-4"/>
          <w:position w:val="2"/>
        </w:rPr>
        <w:t> </w:t>
      </w:r>
      <w:r>
        <w:rPr>
          <w:spacing w:val="-2"/>
          <w:position w:val="2"/>
        </w:rPr>
        <w:t>0,000</w:t>
      </w:r>
    </w:p>
    <w:p>
      <w:pPr>
        <w:pStyle w:val="BodyText"/>
        <w:spacing w:before="1"/>
        <w:ind w:left="119"/>
      </w:pPr>
      <w:r>
        <w:rPr/>
        <w:t>&lt;</w:t>
      </w:r>
      <w:r>
        <w:rPr>
          <w:spacing w:val="-8"/>
        </w:rPr>
        <w:t> </w:t>
      </w:r>
      <w:r>
        <w:rPr/>
        <w:t>0,05</w:t>
      </w:r>
      <w:r>
        <w:rPr>
          <w:spacing w:val="-2"/>
        </w:rPr>
        <w:t> </w:t>
      </w:r>
      <w:r>
        <w:rPr/>
        <w:t>maka</w:t>
      </w:r>
      <w:r>
        <w:rPr>
          <w:spacing w:val="-5"/>
        </w:rPr>
        <w:t> </w:t>
      </w:r>
      <w:r>
        <w:rPr/>
        <w:t>belanja</w:t>
      </w:r>
      <w:r>
        <w:rPr>
          <w:spacing w:val="-5"/>
        </w:rPr>
        <w:t> </w:t>
      </w:r>
      <w:r>
        <w:rPr/>
        <w:t>modal</w:t>
      </w:r>
      <w:r>
        <w:rPr>
          <w:spacing w:val="-4"/>
        </w:rPr>
        <w:t> </w:t>
      </w:r>
      <w:r>
        <w:rPr/>
        <w:t>mempengaruhi</w:t>
      </w:r>
      <w:r>
        <w:rPr>
          <w:spacing w:val="-3"/>
        </w:rPr>
        <w:t> </w:t>
      </w:r>
      <w:r>
        <w:rPr/>
        <w:t>signifikan</w:t>
      </w:r>
      <w:r>
        <w:rPr>
          <w:spacing w:val="-6"/>
        </w:rPr>
        <w:t> </w:t>
      </w:r>
      <w:r>
        <w:rPr/>
        <w:t>pada</w:t>
      </w:r>
      <w:r>
        <w:rPr>
          <w:spacing w:val="-6"/>
        </w:rPr>
        <w:t> </w:t>
      </w:r>
      <w:r>
        <w:rPr/>
        <w:t>tingkat</w:t>
      </w:r>
      <w:r>
        <w:rPr>
          <w:spacing w:val="-6"/>
        </w:rPr>
        <w:t> </w:t>
      </w:r>
      <w:r>
        <w:rPr>
          <w:spacing w:val="-2"/>
        </w:rPr>
        <w:t>kemandirian.</w:t>
      </w:r>
    </w:p>
    <w:p>
      <w:pPr>
        <w:pStyle w:val="BodyText"/>
        <w:spacing w:before="1"/>
      </w:pPr>
    </w:p>
    <w:p>
      <w:pPr>
        <w:spacing w:line="252" w:lineRule="auto" w:before="0"/>
        <w:ind w:left="3922" w:right="3926" w:firstLine="11"/>
        <w:jc w:val="center"/>
        <w:rPr>
          <w:sz w:val="22"/>
        </w:rPr>
      </w:pPr>
      <w:r>
        <w:rPr>
          <w:b/>
          <w:sz w:val="22"/>
        </w:rPr>
        <w:t>Tabel 5 Hasil</w:t>
      </w:r>
      <w:r>
        <w:rPr>
          <w:b/>
          <w:spacing w:val="-13"/>
          <w:sz w:val="22"/>
        </w:rPr>
        <w:t> </w:t>
      </w:r>
      <w:r>
        <w:rPr>
          <w:b/>
          <w:sz w:val="22"/>
        </w:rPr>
        <w:t>Uji</w:t>
      </w:r>
      <w:r>
        <w:rPr>
          <w:b/>
          <w:spacing w:val="-12"/>
          <w:sz w:val="22"/>
        </w:rPr>
        <w:t> </w:t>
      </w:r>
      <w:r>
        <w:rPr>
          <w:b/>
          <w:sz w:val="22"/>
        </w:rPr>
        <w:t>F </w:t>
      </w:r>
      <w:r>
        <w:rPr>
          <w:color w:val="000104"/>
          <w:spacing w:val="-2"/>
          <w:sz w:val="22"/>
        </w:rPr>
        <w:t>ANOVA</w:t>
      </w:r>
      <w:r>
        <w:rPr>
          <w:color w:val="000104"/>
          <w:spacing w:val="-2"/>
          <w:sz w:val="22"/>
          <w:vertAlign w:val="superscript"/>
        </w:rPr>
        <w:t>a</w:t>
      </w:r>
    </w:p>
    <w:tbl>
      <w:tblPr>
        <w:tblW w:w="0" w:type="auto"/>
        <w:jc w:val="left"/>
        <w:tblInd w:w="1097"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top w:w="0" w:type="dxa"/>
          <w:left w:w="0" w:type="dxa"/>
          <w:bottom w:w="0" w:type="dxa"/>
          <w:right w:w="0" w:type="dxa"/>
        </w:tblCellMar>
        <w:tblLook w:val="01E0"/>
      </w:tblPr>
      <w:tblGrid>
        <w:gridCol w:w="408"/>
        <w:gridCol w:w="1028"/>
        <w:gridCol w:w="1431"/>
        <w:gridCol w:w="615"/>
        <w:gridCol w:w="1225"/>
        <w:gridCol w:w="822"/>
        <w:gridCol w:w="1028"/>
      </w:tblGrid>
      <w:tr>
        <w:trPr>
          <w:trHeight w:val="537" w:hRule="atLeast"/>
        </w:trPr>
        <w:tc>
          <w:tcPr>
            <w:tcW w:w="1436" w:type="dxa"/>
            <w:gridSpan w:val="2"/>
            <w:tcBorders>
              <w:top w:val="nil"/>
              <w:left w:val="nil"/>
              <w:right w:val="nil"/>
            </w:tcBorders>
          </w:tcPr>
          <w:p>
            <w:pPr>
              <w:pStyle w:val="TableParagraph"/>
              <w:spacing w:line="254" w:lineRule="exact" w:before="263"/>
              <w:ind w:left="62"/>
              <w:rPr>
                <w:sz w:val="22"/>
              </w:rPr>
            </w:pPr>
            <w:r>
              <w:rPr>
                <w:color w:val="25495F"/>
                <w:spacing w:val="-4"/>
                <w:sz w:val="22"/>
              </w:rPr>
              <w:t>Model</w:t>
            </w:r>
          </w:p>
        </w:tc>
        <w:tc>
          <w:tcPr>
            <w:tcW w:w="1431" w:type="dxa"/>
            <w:tcBorders>
              <w:top w:val="nil"/>
              <w:left w:val="nil"/>
              <w:right w:val="single" w:sz="8" w:space="0" w:color="DFDFDF"/>
            </w:tcBorders>
          </w:tcPr>
          <w:p>
            <w:pPr>
              <w:pStyle w:val="TableParagraph"/>
              <w:tabs>
                <w:tab w:pos="1180" w:val="left" w:leader="none"/>
              </w:tabs>
              <w:spacing w:line="263" w:lineRule="exact"/>
              <w:ind w:left="61"/>
              <w:rPr>
                <w:sz w:val="22"/>
              </w:rPr>
            </w:pPr>
            <w:r>
              <w:rPr>
                <w:color w:val="25495F"/>
                <w:spacing w:val="-5"/>
                <w:sz w:val="22"/>
              </w:rPr>
              <w:t>Sum</w:t>
            </w:r>
            <w:r>
              <w:rPr>
                <w:color w:val="25495F"/>
                <w:sz w:val="22"/>
              </w:rPr>
              <w:tab/>
            </w:r>
            <w:r>
              <w:rPr>
                <w:color w:val="25495F"/>
                <w:spacing w:val="-5"/>
                <w:sz w:val="22"/>
              </w:rPr>
              <w:t>of</w:t>
            </w:r>
          </w:p>
          <w:p>
            <w:pPr>
              <w:pStyle w:val="TableParagraph"/>
              <w:spacing w:line="254" w:lineRule="exact"/>
              <w:ind w:left="61"/>
              <w:rPr>
                <w:sz w:val="22"/>
              </w:rPr>
            </w:pPr>
            <w:r>
              <w:rPr>
                <w:color w:val="25495F"/>
                <w:spacing w:val="-2"/>
                <w:sz w:val="22"/>
              </w:rPr>
              <w:t>Squares</w:t>
            </w:r>
          </w:p>
        </w:tc>
        <w:tc>
          <w:tcPr>
            <w:tcW w:w="615" w:type="dxa"/>
            <w:tcBorders>
              <w:top w:val="nil"/>
              <w:left w:val="single" w:sz="8" w:space="0" w:color="DFDFDF"/>
              <w:right w:val="single" w:sz="8" w:space="0" w:color="DFDFDF"/>
            </w:tcBorders>
          </w:tcPr>
          <w:p>
            <w:pPr>
              <w:pStyle w:val="TableParagraph"/>
              <w:spacing w:line="254" w:lineRule="exact" w:before="263"/>
              <w:ind w:left="61"/>
              <w:rPr>
                <w:sz w:val="22"/>
              </w:rPr>
            </w:pPr>
            <w:r>
              <w:rPr>
                <w:color w:val="25495F"/>
                <w:spacing w:val="-5"/>
                <w:sz w:val="22"/>
              </w:rPr>
              <w:t>Df</w:t>
            </w:r>
          </w:p>
        </w:tc>
        <w:tc>
          <w:tcPr>
            <w:tcW w:w="1225" w:type="dxa"/>
            <w:tcBorders>
              <w:top w:val="nil"/>
              <w:left w:val="single" w:sz="8" w:space="0" w:color="DFDFDF"/>
              <w:right w:val="single" w:sz="8" w:space="0" w:color="DFDFDF"/>
            </w:tcBorders>
          </w:tcPr>
          <w:p>
            <w:pPr>
              <w:pStyle w:val="TableParagraph"/>
              <w:spacing w:line="263" w:lineRule="exact"/>
              <w:ind w:left="61"/>
              <w:rPr>
                <w:sz w:val="22"/>
              </w:rPr>
            </w:pPr>
            <w:r>
              <w:rPr>
                <w:color w:val="25495F"/>
                <w:spacing w:val="-4"/>
                <w:sz w:val="22"/>
              </w:rPr>
              <w:t>Mean</w:t>
            </w:r>
          </w:p>
          <w:p>
            <w:pPr>
              <w:pStyle w:val="TableParagraph"/>
              <w:spacing w:line="254" w:lineRule="exact"/>
              <w:ind w:left="61"/>
              <w:rPr>
                <w:sz w:val="22"/>
              </w:rPr>
            </w:pPr>
            <w:r>
              <w:rPr>
                <w:color w:val="25495F"/>
                <w:spacing w:val="-2"/>
                <w:sz w:val="22"/>
              </w:rPr>
              <w:t>Square</w:t>
            </w:r>
          </w:p>
        </w:tc>
        <w:tc>
          <w:tcPr>
            <w:tcW w:w="822" w:type="dxa"/>
            <w:tcBorders>
              <w:top w:val="nil"/>
              <w:left w:val="single" w:sz="8" w:space="0" w:color="DFDFDF"/>
              <w:right w:val="single" w:sz="8" w:space="0" w:color="DFDFDF"/>
            </w:tcBorders>
          </w:tcPr>
          <w:p>
            <w:pPr>
              <w:pStyle w:val="TableParagraph"/>
              <w:spacing w:line="254" w:lineRule="exact" w:before="263"/>
              <w:ind w:left="65"/>
              <w:rPr>
                <w:sz w:val="22"/>
              </w:rPr>
            </w:pPr>
            <w:r>
              <w:rPr>
                <w:color w:val="25495F"/>
                <w:spacing w:val="-10"/>
                <w:sz w:val="22"/>
              </w:rPr>
              <w:t>F</w:t>
            </w:r>
          </w:p>
        </w:tc>
        <w:tc>
          <w:tcPr>
            <w:tcW w:w="1028" w:type="dxa"/>
            <w:tcBorders>
              <w:top w:val="nil"/>
              <w:left w:val="single" w:sz="8" w:space="0" w:color="DFDFDF"/>
              <w:right w:val="nil"/>
            </w:tcBorders>
          </w:tcPr>
          <w:p>
            <w:pPr>
              <w:pStyle w:val="TableParagraph"/>
              <w:spacing w:line="254" w:lineRule="exact" w:before="263"/>
              <w:ind w:left="60"/>
              <w:rPr>
                <w:sz w:val="22"/>
              </w:rPr>
            </w:pPr>
            <w:r>
              <w:rPr>
                <w:color w:val="25495F"/>
                <w:spacing w:val="-4"/>
                <w:sz w:val="22"/>
              </w:rPr>
              <w:t>Sig.</w:t>
            </w:r>
          </w:p>
        </w:tc>
      </w:tr>
      <w:tr>
        <w:trPr>
          <w:trHeight w:val="537" w:hRule="atLeast"/>
        </w:trPr>
        <w:tc>
          <w:tcPr>
            <w:tcW w:w="408" w:type="dxa"/>
            <w:vMerge w:val="restart"/>
            <w:tcBorders>
              <w:left w:val="nil"/>
              <w:right w:val="nil"/>
            </w:tcBorders>
            <w:shd w:val="clear" w:color="auto" w:fill="DFDFDF"/>
          </w:tcPr>
          <w:p>
            <w:pPr>
              <w:pStyle w:val="TableParagraph"/>
              <w:spacing w:line="263" w:lineRule="exact"/>
              <w:ind w:left="62"/>
              <w:rPr>
                <w:sz w:val="22"/>
              </w:rPr>
            </w:pPr>
            <w:r>
              <w:rPr>
                <w:color w:val="25495F"/>
                <w:spacing w:val="-10"/>
                <w:sz w:val="22"/>
              </w:rPr>
              <w:t>1</w:t>
            </w:r>
          </w:p>
        </w:tc>
        <w:tc>
          <w:tcPr>
            <w:tcW w:w="1028" w:type="dxa"/>
            <w:tcBorders>
              <w:left w:val="nil"/>
              <w:bottom w:val="single" w:sz="8" w:space="0" w:color="ADADAD"/>
              <w:right w:val="nil"/>
            </w:tcBorders>
            <w:shd w:val="clear" w:color="auto" w:fill="DFDFDF"/>
          </w:tcPr>
          <w:p>
            <w:pPr>
              <w:pStyle w:val="TableParagraph"/>
              <w:spacing w:line="263" w:lineRule="exact"/>
              <w:ind w:left="62"/>
              <w:rPr>
                <w:sz w:val="22"/>
              </w:rPr>
            </w:pPr>
            <w:r>
              <w:rPr>
                <w:color w:val="25495F"/>
                <w:spacing w:val="-2"/>
                <w:sz w:val="22"/>
              </w:rPr>
              <w:t>Regressio</w:t>
            </w:r>
          </w:p>
          <w:p>
            <w:pPr>
              <w:pStyle w:val="TableParagraph"/>
              <w:spacing w:line="254" w:lineRule="exact"/>
              <w:ind w:left="62"/>
              <w:rPr>
                <w:sz w:val="22"/>
              </w:rPr>
            </w:pPr>
            <w:r>
              <w:rPr>
                <w:color w:val="25495F"/>
                <w:spacing w:val="-10"/>
                <w:sz w:val="22"/>
              </w:rPr>
              <w:t>n</w:t>
            </w:r>
          </w:p>
        </w:tc>
        <w:tc>
          <w:tcPr>
            <w:tcW w:w="1431" w:type="dxa"/>
            <w:tcBorders>
              <w:left w:val="nil"/>
              <w:bottom w:val="single" w:sz="8" w:space="0" w:color="ADADAD"/>
              <w:right w:val="single" w:sz="8" w:space="0" w:color="DFDFDF"/>
            </w:tcBorders>
          </w:tcPr>
          <w:p>
            <w:pPr>
              <w:pStyle w:val="TableParagraph"/>
              <w:spacing w:line="263" w:lineRule="exact"/>
              <w:ind w:left="61"/>
              <w:rPr>
                <w:sz w:val="22"/>
              </w:rPr>
            </w:pPr>
            <w:r>
              <w:rPr>
                <w:color w:val="000104"/>
                <w:spacing w:val="-2"/>
                <w:sz w:val="22"/>
              </w:rPr>
              <w:t>2602,787</w:t>
            </w:r>
          </w:p>
        </w:tc>
        <w:tc>
          <w:tcPr>
            <w:tcW w:w="615" w:type="dxa"/>
            <w:tcBorders>
              <w:left w:val="single" w:sz="8" w:space="0" w:color="DFDFDF"/>
              <w:bottom w:val="single" w:sz="8" w:space="0" w:color="ADADAD"/>
              <w:right w:val="single" w:sz="8" w:space="0" w:color="DFDFDF"/>
            </w:tcBorders>
          </w:tcPr>
          <w:p>
            <w:pPr>
              <w:pStyle w:val="TableParagraph"/>
              <w:spacing w:line="263" w:lineRule="exact"/>
              <w:ind w:left="61"/>
              <w:rPr>
                <w:sz w:val="22"/>
              </w:rPr>
            </w:pPr>
            <w:r>
              <w:rPr>
                <w:color w:val="000104"/>
                <w:spacing w:val="-10"/>
                <w:sz w:val="22"/>
              </w:rPr>
              <w:t>2</w:t>
            </w:r>
          </w:p>
        </w:tc>
        <w:tc>
          <w:tcPr>
            <w:tcW w:w="1225" w:type="dxa"/>
            <w:tcBorders>
              <w:left w:val="single" w:sz="8" w:space="0" w:color="DFDFDF"/>
              <w:bottom w:val="single" w:sz="8" w:space="0" w:color="ADADAD"/>
              <w:right w:val="single" w:sz="8" w:space="0" w:color="DFDFDF"/>
            </w:tcBorders>
          </w:tcPr>
          <w:p>
            <w:pPr>
              <w:pStyle w:val="TableParagraph"/>
              <w:spacing w:line="263" w:lineRule="exact"/>
              <w:ind w:left="61"/>
              <w:rPr>
                <w:sz w:val="22"/>
              </w:rPr>
            </w:pPr>
            <w:r>
              <w:rPr>
                <w:color w:val="000104"/>
                <w:spacing w:val="-2"/>
                <w:sz w:val="22"/>
              </w:rPr>
              <w:t>1301,39</w:t>
            </w:r>
          </w:p>
        </w:tc>
        <w:tc>
          <w:tcPr>
            <w:tcW w:w="822" w:type="dxa"/>
            <w:tcBorders>
              <w:left w:val="single" w:sz="8" w:space="0" w:color="DFDFDF"/>
              <w:bottom w:val="single" w:sz="8" w:space="0" w:color="ADADAD"/>
              <w:right w:val="single" w:sz="8" w:space="0" w:color="DFDFDF"/>
            </w:tcBorders>
          </w:tcPr>
          <w:p>
            <w:pPr>
              <w:pStyle w:val="TableParagraph"/>
              <w:spacing w:line="263" w:lineRule="exact"/>
              <w:ind w:left="65"/>
              <w:rPr>
                <w:sz w:val="22"/>
              </w:rPr>
            </w:pPr>
            <w:r>
              <w:rPr>
                <w:color w:val="000104"/>
                <w:spacing w:val="-2"/>
                <w:sz w:val="22"/>
              </w:rPr>
              <w:t>16,764</w:t>
            </w:r>
          </w:p>
        </w:tc>
        <w:tc>
          <w:tcPr>
            <w:tcW w:w="1028" w:type="dxa"/>
            <w:tcBorders>
              <w:left w:val="single" w:sz="8" w:space="0" w:color="DFDFDF"/>
              <w:bottom w:val="single" w:sz="8" w:space="0" w:color="ADADAD"/>
              <w:right w:val="nil"/>
            </w:tcBorders>
          </w:tcPr>
          <w:p>
            <w:pPr>
              <w:pStyle w:val="TableParagraph"/>
              <w:spacing w:line="263" w:lineRule="exact"/>
              <w:ind w:left="60"/>
              <w:rPr>
                <w:sz w:val="22"/>
              </w:rPr>
            </w:pPr>
            <w:r>
              <w:rPr>
                <w:color w:val="000104"/>
                <w:spacing w:val="-2"/>
                <w:sz w:val="22"/>
              </w:rPr>
              <w:t>,000</w:t>
            </w:r>
            <w:r>
              <w:rPr>
                <w:color w:val="000104"/>
                <w:spacing w:val="-2"/>
                <w:sz w:val="22"/>
                <w:vertAlign w:val="superscript"/>
              </w:rPr>
              <w:t>b</w:t>
            </w:r>
          </w:p>
        </w:tc>
      </w:tr>
      <w:tr>
        <w:trPr>
          <w:trHeight w:val="315" w:hRule="atLeast"/>
        </w:trPr>
        <w:tc>
          <w:tcPr>
            <w:tcW w:w="408" w:type="dxa"/>
            <w:vMerge/>
            <w:tcBorders>
              <w:top w:val="nil"/>
              <w:left w:val="nil"/>
              <w:right w:val="nil"/>
            </w:tcBorders>
            <w:shd w:val="clear" w:color="auto" w:fill="DFDFDF"/>
          </w:tcPr>
          <w:p>
            <w:pPr>
              <w:rPr>
                <w:sz w:val="2"/>
                <w:szCs w:val="2"/>
              </w:rPr>
            </w:pPr>
          </w:p>
        </w:tc>
        <w:tc>
          <w:tcPr>
            <w:tcW w:w="1028" w:type="dxa"/>
            <w:tcBorders>
              <w:top w:val="single" w:sz="8" w:space="0" w:color="ADADAD"/>
              <w:left w:val="nil"/>
              <w:bottom w:val="single" w:sz="8" w:space="0" w:color="ADADAD"/>
              <w:right w:val="nil"/>
            </w:tcBorders>
            <w:shd w:val="clear" w:color="auto" w:fill="DFDFDF"/>
          </w:tcPr>
          <w:p>
            <w:pPr>
              <w:pStyle w:val="TableParagraph"/>
              <w:spacing w:line="263" w:lineRule="exact"/>
              <w:ind w:left="62"/>
              <w:rPr>
                <w:sz w:val="22"/>
              </w:rPr>
            </w:pPr>
            <w:r>
              <w:rPr>
                <w:color w:val="25495F"/>
                <w:spacing w:val="-2"/>
                <w:sz w:val="22"/>
              </w:rPr>
              <w:t>Residual</w:t>
            </w:r>
          </w:p>
        </w:tc>
        <w:tc>
          <w:tcPr>
            <w:tcW w:w="1431" w:type="dxa"/>
            <w:tcBorders>
              <w:top w:val="single" w:sz="8" w:space="0" w:color="ADADAD"/>
              <w:left w:val="nil"/>
              <w:bottom w:val="single" w:sz="8" w:space="0" w:color="ADADAD"/>
              <w:right w:val="single" w:sz="8" w:space="0" w:color="DFDFDF"/>
            </w:tcBorders>
          </w:tcPr>
          <w:p>
            <w:pPr>
              <w:pStyle w:val="TableParagraph"/>
              <w:spacing w:line="263" w:lineRule="exact"/>
              <w:ind w:left="61"/>
              <w:rPr>
                <w:sz w:val="22"/>
              </w:rPr>
            </w:pPr>
            <w:r>
              <w:rPr>
                <w:color w:val="000104"/>
                <w:spacing w:val="-2"/>
                <w:sz w:val="22"/>
              </w:rPr>
              <w:t>1863,168</w:t>
            </w:r>
          </w:p>
        </w:tc>
        <w:tc>
          <w:tcPr>
            <w:tcW w:w="615" w:type="dxa"/>
            <w:tcBorders>
              <w:top w:val="single" w:sz="8" w:space="0" w:color="ADADAD"/>
              <w:left w:val="single" w:sz="8" w:space="0" w:color="DFDFDF"/>
              <w:bottom w:val="single" w:sz="8" w:space="0" w:color="ADADAD"/>
              <w:right w:val="single" w:sz="8" w:space="0" w:color="DFDFDF"/>
            </w:tcBorders>
          </w:tcPr>
          <w:p>
            <w:pPr>
              <w:pStyle w:val="TableParagraph"/>
              <w:spacing w:line="263" w:lineRule="exact"/>
              <w:ind w:left="61"/>
              <w:rPr>
                <w:sz w:val="22"/>
              </w:rPr>
            </w:pPr>
            <w:r>
              <w:rPr>
                <w:color w:val="000104"/>
                <w:spacing w:val="-5"/>
                <w:sz w:val="22"/>
              </w:rPr>
              <w:t>24</w:t>
            </w:r>
          </w:p>
        </w:tc>
        <w:tc>
          <w:tcPr>
            <w:tcW w:w="1225" w:type="dxa"/>
            <w:tcBorders>
              <w:top w:val="single" w:sz="8" w:space="0" w:color="ADADAD"/>
              <w:left w:val="single" w:sz="8" w:space="0" w:color="DFDFDF"/>
              <w:bottom w:val="single" w:sz="8" w:space="0" w:color="ADADAD"/>
              <w:right w:val="single" w:sz="8" w:space="0" w:color="DFDFDF"/>
            </w:tcBorders>
          </w:tcPr>
          <w:p>
            <w:pPr>
              <w:pStyle w:val="TableParagraph"/>
              <w:spacing w:line="263" w:lineRule="exact"/>
              <w:ind w:left="61"/>
              <w:rPr>
                <w:sz w:val="22"/>
              </w:rPr>
            </w:pPr>
            <w:r>
              <w:rPr>
                <w:color w:val="000104"/>
                <w:spacing w:val="-2"/>
                <w:sz w:val="22"/>
              </w:rPr>
              <w:t>77,632</w:t>
            </w:r>
          </w:p>
        </w:tc>
        <w:tc>
          <w:tcPr>
            <w:tcW w:w="822" w:type="dxa"/>
            <w:tcBorders>
              <w:top w:val="single" w:sz="8" w:space="0" w:color="ADADAD"/>
              <w:left w:val="single" w:sz="8" w:space="0" w:color="DFDFDF"/>
              <w:bottom w:val="single" w:sz="8" w:space="0" w:color="ADADAD"/>
              <w:right w:val="single" w:sz="8" w:space="0" w:color="DFDFDF"/>
            </w:tcBorders>
          </w:tcPr>
          <w:p>
            <w:pPr>
              <w:pStyle w:val="TableParagraph"/>
              <w:rPr>
                <w:rFonts w:ascii="Times New Roman"/>
                <w:sz w:val="20"/>
              </w:rPr>
            </w:pPr>
          </w:p>
        </w:tc>
        <w:tc>
          <w:tcPr>
            <w:tcW w:w="1028" w:type="dxa"/>
            <w:tcBorders>
              <w:top w:val="single" w:sz="8" w:space="0" w:color="ADADAD"/>
              <w:left w:val="single" w:sz="8" w:space="0" w:color="DFDFDF"/>
              <w:bottom w:val="single" w:sz="8" w:space="0" w:color="ADADAD"/>
              <w:right w:val="nil"/>
            </w:tcBorders>
          </w:tcPr>
          <w:p>
            <w:pPr>
              <w:pStyle w:val="TableParagraph"/>
              <w:rPr>
                <w:rFonts w:ascii="Times New Roman"/>
                <w:sz w:val="20"/>
              </w:rPr>
            </w:pPr>
          </w:p>
        </w:tc>
      </w:tr>
      <w:tr>
        <w:trPr>
          <w:trHeight w:val="320" w:hRule="atLeast"/>
        </w:trPr>
        <w:tc>
          <w:tcPr>
            <w:tcW w:w="408" w:type="dxa"/>
            <w:vMerge/>
            <w:tcBorders>
              <w:top w:val="nil"/>
              <w:left w:val="nil"/>
              <w:right w:val="nil"/>
            </w:tcBorders>
            <w:shd w:val="clear" w:color="auto" w:fill="DFDFDF"/>
          </w:tcPr>
          <w:p>
            <w:pPr>
              <w:rPr>
                <w:sz w:val="2"/>
                <w:szCs w:val="2"/>
              </w:rPr>
            </w:pPr>
          </w:p>
        </w:tc>
        <w:tc>
          <w:tcPr>
            <w:tcW w:w="1028" w:type="dxa"/>
            <w:tcBorders>
              <w:top w:val="single" w:sz="8" w:space="0" w:color="ADADAD"/>
              <w:left w:val="nil"/>
              <w:right w:val="nil"/>
            </w:tcBorders>
            <w:shd w:val="clear" w:color="auto" w:fill="DFDFDF"/>
          </w:tcPr>
          <w:p>
            <w:pPr>
              <w:pStyle w:val="TableParagraph"/>
              <w:spacing w:line="263" w:lineRule="exact"/>
              <w:ind w:left="62"/>
              <w:rPr>
                <w:sz w:val="22"/>
              </w:rPr>
            </w:pPr>
            <w:r>
              <w:rPr>
                <w:color w:val="25495F"/>
                <w:spacing w:val="-2"/>
                <w:sz w:val="22"/>
              </w:rPr>
              <w:t>Total</w:t>
            </w:r>
          </w:p>
        </w:tc>
        <w:tc>
          <w:tcPr>
            <w:tcW w:w="1431" w:type="dxa"/>
            <w:tcBorders>
              <w:top w:val="single" w:sz="8" w:space="0" w:color="ADADAD"/>
              <w:left w:val="nil"/>
              <w:right w:val="single" w:sz="8" w:space="0" w:color="DFDFDF"/>
            </w:tcBorders>
          </w:tcPr>
          <w:p>
            <w:pPr>
              <w:pStyle w:val="TableParagraph"/>
              <w:spacing w:line="263" w:lineRule="exact"/>
              <w:ind w:left="61"/>
              <w:rPr>
                <w:sz w:val="22"/>
              </w:rPr>
            </w:pPr>
            <w:r>
              <w:rPr>
                <w:color w:val="000104"/>
                <w:spacing w:val="-2"/>
                <w:sz w:val="22"/>
              </w:rPr>
              <w:t>4465,955</w:t>
            </w:r>
          </w:p>
        </w:tc>
        <w:tc>
          <w:tcPr>
            <w:tcW w:w="615" w:type="dxa"/>
            <w:tcBorders>
              <w:top w:val="single" w:sz="8" w:space="0" w:color="ADADAD"/>
              <w:left w:val="single" w:sz="8" w:space="0" w:color="DFDFDF"/>
              <w:right w:val="single" w:sz="8" w:space="0" w:color="DFDFDF"/>
            </w:tcBorders>
          </w:tcPr>
          <w:p>
            <w:pPr>
              <w:pStyle w:val="TableParagraph"/>
              <w:spacing w:line="263" w:lineRule="exact"/>
              <w:ind w:left="61"/>
              <w:rPr>
                <w:sz w:val="22"/>
              </w:rPr>
            </w:pPr>
            <w:r>
              <w:rPr>
                <w:color w:val="000104"/>
                <w:spacing w:val="-5"/>
                <w:sz w:val="22"/>
              </w:rPr>
              <w:t>26</w:t>
            </w:r>
          </w:p>
        </w:tc>
        <w:tc>
          <w:tcPr>
            <w:tcW w:w="1225" w:type="dxa"/>
            <w:tcBorders>
              <w:top w:val="single" w:sz="8" w:space="0" w:color="ADADAD"/>
              <w:left w:val="single" w:sz="8" w:space="0" w:color="DFDFDF"/>
              <w:right w:val="single" w:sz="8" w:space="0" w:color="DFDFDF"/>
            </w:tcBorders>
          </w:tcPr>
          <w:p>
            <w:pPr>
              <w:pStyle w:val="TableParagraph"/>
              <w:rPr>
                <w:rFonts w:ascii="Times New Roman"/>
                <w:sz w:val="20"/>
              </w:rPr>
            </w:pPr>
          </w:p>
        </w:tc>
        <w:tc>
          <w:tcPr>
            <w:tcW w:w="822" w:type="dxa"/>
            <w:tcBorders>
              <w:top w:val="single" w:sz="8" w:space="0" w:color="ADADAD"/>
              <w:left w:val="single" w:sz="8" w:space="0" w:color="DFDFDF"/>
              <w:right w:val="single" w:sz="8" w:space="0" w:color="DFDFDF"/>
            </w:tcBorders>
          </w:tcPr>
          <w:p>
            <w:pPr>
              <w:pStyle w:val="TableParagraph"/>
              <w:rPr>
                <w:rFonts w:ascii="Times New Roman"/>
                <w:sz w:val="20"/>
              </w:rPr>
            </w:pPr>
          </w:p>
        </w:tc>
        <w:tc>
          <w:tcPr>
            <w:tcW w:w="1028" w:type="dxa"/>
            <w:tcBorders>
              <w:top w:val="single" w:sz="8" w:space="0" w:color="ADADAD"/>
              <w:left w:val="single" w:sz="8" w:space="0" w:color="DFDFDF"/>
              <w:right w:val="nil"/>
            </w:tcBorders>
          </w:tcPr>
          <w:p>
            <w:pPr>
              <w:pStyle w:val="TableParagraph"/>
              <w:rPr>
                <w:rFonts w:ascii="Times New Roman"/>
                <w:sz w:val="20"/>
              </w:rPr>
            </w:pPr>
          </w:p>
        </w:tc>
      </w:tr>
    </w:tbl>
    <w:p>
      <w:pPr>
        <w:pStyle w:val="ListParagraph"/>
        <w:numPr>
          <w:ilvl w:val="0"/>
          <w:numId w:val="1"/>
        </w:numPr>
        <w:tabs>
          <w:tab w:pos="1361" w:val="left" w:leader="none"/>
        </w:tabs>
        <w:spacing w:line="240" w:lineRule="auto" w:before="6" w:after="0"/>
        <w:ind w:left="1361" w:right="0" w:hanging="209"/>
        <w:jc w:val="left"/>
        <w:rPr>
          <w:sz w:val="22"/>
        </w:rPr>
      </w:pPr>
      <w:r>
        <w:rPr>
          <w:color w:val="000104"/>
          <w:sz w:val="22"/>
        </w:rPr>
        <w:t>Dependent</w:t>
      </w:r>
      <w:r>
        <w:rPr>
          <w:color w:val="000104"/>
          <w:spacing w:val="-8"/>
          <w:sz w:val="22"/>
        </w:rPr>
        <w:t> </w:t>
      </w:r>
      <w:r>
        <w:rPr>
          <w:color w:val="000104"/>
          <w:sz w:val="22"/>
        </w:rPr>
        <w:t>Variable:</w:t>
      </w:r>
      <w:r>
        <w:rPr>
          <w:color w:val="000104"/>
          <w:spacing w:val="-6"/>
          <w:sz w:val="22"/>
        </w:rPr>
        <w:t> </w:t>
      </w:r>
      <w:r>
        <w:rPr>
          <w:color w:val="000104"/>
          <w:sz w:val="22"/>
        </w:rPr>
        <w:t>TINGKAT</w:t>
      </w:r>
      <w:r>
        <w:rPr>
          <w:color w:val="000104"/>
          <w:spacing w:val="-7"/>
          <w:sz w:val="22"/>
        </w:rPr>
        <w:t> </w:t>
      </w:r>
      <w:r>
        <w:rPr>
          <w:color w:val="000104"/>
          <w:spacing w:val="-2"/>
          <w:sz w:val="22"/>
        </w:rPr>
        <w:t>KEMANDIRIAN</w:t>
      </w:r>
    </w:p>
    <w:p>
      <w:pPr>
        <w:pStyle w:val="ListParagraph"/>
        <w:numPr>
          <w:ilvl w:val="0"/>
          <w:numId w:val="1"/>
        </w:numPr>
        <w:tabs>
          <w:tab w:pos="1372" w:val="left" w:leader="none"/>
        </w:tabs>
        <w:spacing w:line="240" w:lineRule="auto" w:before="53" w:after="0"/>
        <w:ind w:left="1372" w:right="0" w:hanging="220"/>
        <w:jc w:val="left"/>
        <w:rPr>
          <w:sz w:val="22"/>
        </w:rPr>
      </w:pPr>
      <w:r>
        <w:rPr>
          <w:color w:val="000104"/>
          <w:sz w:val="22"/>
        </w:rPr>
        <w:t>Predictors:</w:t>
      </w:r>
      <w:r>
        <w:rPr>
          <w:color w:val="000104"/>
          <w:spacing w:val="-9"/>
          <w:sz w:val="22"/>
        </w:rPr>
        <w:t> </w:t>
      </w:r>
      <w:r>
        <w:rPr>
          <w:color w:val="000104"/>
          <w:sz w:val="22"/>
        </w:rPr>
        <w:t>(Constant),</w:t>
      </w:r>
      <w:r>
        <w:rPr>
          <w:color w:val="000104"/>
          <w:spacing w:val="-9"/>
          <w:sz w:val="22"/>
        </w:rPr>
        <w:t> </w:t>
      </w:r>
      <w:r>
        <w:rPr>
          <w:color w:val="000104"/>
          <w:sz w:val="22"/>
        </w:rPr>
        <w:t>BELANJA</w:t>
      </w:r>
      <w:r>
        <w:rPr>
          <w:color w:val="000104"/>
          <w:spacing w:val="-7"/>
          <w:sz w:val="22"/>
        </w:rPr>
        <w:t> </w:t>
      </w:r>
      <w:r>
        <w:rPr>
          <w:color w:val="000104"/>
          <w:sz w:val="22"/>
        </w:rPr>
        <w:t>MODAL,</w:t>
      </w:r>
      <w:r>
        <w:rPr>
          <w:color w:val="000104"/>
          <w:spacing w:val="-9"/>
          <w:sz w:val="22"/>
        </w:rPr>
        <w:t> </w:t>
      </w:r>
      <w:r>
        <w:rPr>
          <w:color w:val="000104"/>
          <w:spacing w:val="-5"/>
          <w:sz w:val="22"/>
        </w:rPr>
        <w:t>PAD</w:t>
      </w:r>
    </w:p>
    <w:p>
      <w:pPr>
        <w:pStyle w:val="BodyText"/>
      </w:pPr>
    </w:p>
    <w:p>
      <w:pPr>
        <w:pStyle w:val="BodyText"/>
      </w:pPr>
    </w:p>
    <w:p>
      <w:pPr>
        <w:pStyle w:val="BodyText"/>
        <w:spacing w:before="260"/>
      </w:pPr>
    </w:p>
    <w:p>
      <w:pPr>
        <w:spacing w:before="0"/>
        <w:ind w:left="119" w:right="15" w:firstLine="0"/>
        <w:jc w:val="left"/>
        <w:rPr>
          <w:sz w:val="22"/>
        </w:rPr>
      </w:pPr>
      <w:bookmarkStart w:name="Hasil pengujian F didapat nilai F hitung" w:id="4"/>
      <w:bookmarkEnd w:id="4"/>
      <w:r>
        <w:rPr/>
      </w:r>
      <w:r>
        <w:rPr>
          <w:position w:val="2"/>
          <w:sz w:val="22"/>
        </w:rPr>
        <w:t>Hasil</w:t>
      </w:r>
      <w:r>
        <w:rPr>
          <w:spacing w:val="-1"/>
          <w:position w:val="2"/>
          <w:sz w:val="22"/>
        </w:rPr>
        <w:t> </w:t>
      </w:r>
      <w:r>
        <w:rPr>
          <w:position w:val="2"/>
          <w:sz w:val="22"/>
        </w:rPr>
        <w:t>pengujian</w:t>
      </w:r>
      <w:r>
        <w:rPr>
          <w:spacing w:val="-4"/>
          <w:position w:val="2"/>
          <w:sz w:val="22"/>
        </w:rPr>
        <w:t> </w:t>
      </w:r>
      <w:r>
        <w:rPr>
          <w:position w:val="2"/>
          <w:sz w:val="22"/>
        </w:rPr>
        <w:t>F</w:t>
      </w:r>
      <w:r>
        <w:rPr>
          <w:spacing w:val="-4"/>
          <w:position w:val="2"/>
          <w:sz w:val="22"/>
        </w:rPr>
        <w:t> </w:t>
      </w:r>
      <w:r>
        <w:rPr>
          <w:position w:val="2"/>
          <w:sz w:val="22"/>
        </w:rPr>
        <w:t>didapat</w:t>
      </w:r>
      <w:r>
        <w:rPr>
          <w:spacing w:val="-6"/>
          <w:position w:val="2"/>
          <w:sz w:val="22"/>
        </w:rPr>
        <w:t> </w:t>
      </w:r>
      <w:r>
        <w:rPr>
          <w:position w:val="2"/>
          <w:sz w:val="22"/>
        </w:rPr>
        <w:t>nilai</w:t>
      </w:r>
      <w:r>
        <w:rPr>
          <w:spacing w:val="-2"/>
          <w:position w:val="2"/>
          <w:sz w:val="22"/>
        </w:rPr>
        <w:t> </w:t>
      </w:r>
      <w:r>
        <w:rPr>
          <w:position w:val="2"/>
          <w:sz w:val="22"/>
        </w:rPr>
        <w:t>F</w:t>
      </w:r>
      <w:r>
        <w:rPr>
          <w:spacing w:val="-1"/>
          <w:position w:val="2"/>
          <w:sz w:val="22"/>
        </w:rPr>
        <w:t> </w:t>
      </w:r>
      <w:r>
        <w:rPr>
          <w:sz w:val="14"/>
        </w:rPr>
        <w:t>hitung</w:t>
      </w:r>
      <w:r>
        <w:rPr>
          <w:spacing w:val="40"/>
          <w:sz w:val="14"/>
        </w:rPr>
        <w:t> </w:t>
      </w:r>
      <w:r>
        <w:rPr>
          <w:position w:val="2"/>
          <w:sz w:val="22"/>
        </w:rPr>
        <w:t>16,764 dan</w:t>
      </w:r>
      <w:r>
        <w:rPr>
          <w:spacing w:val="-4"/>
          <w:position w:val="2"/>
          <w:sz w:val="22"/>
        </w:rPr>
        <w:t> </w:t>
      </w:r>
      <w:r>
        <w:rPr>
          <w:position w:val="2"/>
          <w:sz w:val="22"/>
        </w:rPr>
        <w:t>probabilitasnya</w:t>
      </w:r>
      <w:r>
        <w:rPr>
          <w:spacing w:val="-3"/>
          <w:position w:val="2"/>
          <w:sz w:val="22"/>
        </w:rPr>
        <w:t> </w:t>
      </w:r>
      <w:r>
        <w:rPr>
          <w:position w:val="2"/>
          <w:sz w:val="22"/>
        </w:rPr>
        <w:t>0,000. </w:t>
      </w:r>
      <w:r>
        <w:rPr>
          <w:b/>
          <w:position w:val="2"/>
          <w:sz w:val="22"/>
        </w:rPr>
        <w:t>Nilai</w:t>
      </w:r>
      <w:r>
        <w:rPr>
          <w:b/>
          <w:spacing w:val="-5"/>
          <w:position w:val="2"/>
          <w:sz w:val="22"/>
        </w:rPr>
        <w:t> </w:t>
      </w:r>
      <w:r>
        <w:rPr>
          <w:b/>
          <w:position w:val="2"/>
          <w:sz w:val="22"/>
        </w:rPr>
        <w:t>sig.</w:t>
      </w:r>
      <w:r>
        <w:rPr>
          <w:b/>
          <w:spacing w:val="-5"/>
          <w:position w:val="2"/>
          <w:sz w:val="22"/>
        </w:rPr>
        <w:t> </w:t>
      </w:r>
      <w:r>
        <w:rPr>
          <w:b/>
          <w:position w:val="2"/>
          <w:sz w:val="22"/>
        </w:rPr>
        <w:t>0,05</w:t>
      </w:r>
      <w:r>
        <w:rPr>
          <w:b/>
          <w:spacing w:val="-5"/>
          <w:position w:val="2"/>
          <w:sz w:val="22"/>
        </w:rPr>
        <w:t> </w:t>
      </w:r>
      <w:r>
        <w:rPr>
          <w:b/>
          <w:position w:val="2"/>
          <w:sz w:val="22"/>
        </w:rPr>
        <w:t>didapat nilai F-</w:t>
      </w:r>
      <w:r>
        <w:rPr>
          <w:b/>
          <w:sz w:val="14"/>
        </w:rPr>
        <w:t>tabel</w:t>
      </w:r>
      <w:r>
        <w:rPr>
          <w:b/>
          <w:spacing w:val="40"/>
          <w:sz w:val="14"/>
        </w:rPr>
        <w:t> </w:t>
      </w:r>
      <w:r>
        <w:rPr>
          <w:b/>
          <w:position w:val="2"/>
          <w:sz w:val="22"/>
        </w:rPr>
        <w:t>= (n – k - 1) (27 - 2 - 1) (24) = 3,403. Sehingga, </w:t>
      </w:r>
      <w:r>
        <w:rPr>
          <w:position w:val="2"/>
          <w:sz w:val="22"/>
        </w:rPr>
        <w:t>nilai probability nilai P 0,000 &lt; 0,05 atau </w:t>
      </w:r>
      <w:r>
        <w:rPr>
          <w:b/>
          <w:position w:val="2"/>
          <w:sz w:val="22"/>
        </w:rPr>
        <w:t>nilai F-</w:t>
      </w:r>
      <w:r>
        <w:rPr>
          <w:b/>
          <w:sz w:val="14"/>
        </w:rPr>
        <w:t>hitung </w:t>
      </w:r>
      <w:r>
        <w:rPr>
          <w:b/>
          <w:position w:val="2"/>
          <w:sz w:val="22"/>
        </w:rPr>
        <w:t>16,764 &lt; nilai F-</w:t>
      </w:r>
      <w:r>
        <w:rPr>
          <w:b/>
          <w:sz w:val="14"/>
        </w:rPr>
        <w:t>tabel</w:t>
      </w:r>
      <w:r>
        <w:rPr>
          <w:b/>
          <w:spacing w:val="26"/>
          <w:sz w:val="14"/>
        </w:rPr>
        <w:t> </w:t>
      </w:r>
      <w:r>
        <w:rPr>
          <w:b/>
          <w:position w:val="2"/>
          <w:sz w:val="22"/>
        </w:rPr>
        <w:t>3,403</w:t>
      </w:r>
      <w:r>
        <w:rPr>
          <w:position w:val="2"/>
          <w:sz w:val="22"/>
        </w:rPr>
        <w:t>. maka secara simultan PAD dan Belanja Modal </w:t>
      </w:r>
      <w:r>
        <w:rPr>
          <w:sz w:val="22"/>
        </w:rPr>
        <w:t>mempengaruhi Tingkat Kemandirian Daerah.</w:t>
      </w:r>
    </w:p>
    <w:p>
      <w:pPr>
        <w:pStyle w:val="Heading2"/>
        <w:spacing w:before="228"/>
      </w:pPr>
      <w:r>
        <w:rPr>
          <w:spacing w:val="-2"/>
        </w:rPr>
        <w:t>Pembahasan</w:t>
      </w:r>
    </w:p>
    <w:p>
      <w:pPr>
        <w:spacing w:before="0"/>
        <w:ind w:left="119" w:right="0" w:firstLine="0"/>
        <w:jc w:val="left"/>
        <w:rPr>
          <w:b/>
          <w:sz w:val="22"/>
        </w:rPr>
      </w:pPr>
      <w:r>
        <w:rPr>
          <w:b/>
          <w:sz w:val="22"/>
        </w:rPr>
        <w:t>Pengaruh</w:t>
      </w:r>
      <w:r>
        <w:rPr>
          <w:b/>
          <w:spacing w:val="-7"/>
          <w:sz w:val="22"/>
        </w:rPr>
        <w:t> </w:t>
      </w:r>
      <w:r>
        <w:rPr>
          <w:b/>
          <w:sz w:val="22"/>
        </w:rPr>
        <w:t>PAD</w:t>
      </w:r>
      <w:r>
        <w:rPr>
          <w:b/>
          <w:spacing w:val="-5"/>
          <w:sz w:val="22"/>
        </w:rPr>
        <w:t> </w:t>
      </w:r>
      <w:r>
        <w:rPr>
          <w:b/>
          <w:sz w:val="22"/>
        </w:rPr>
        <w:t>Terhadap</w:t>
      </w:r>
      <w:r>
        <w:rPr>
          <w:b/>
          <w:spacing w:val="-6"/>
          <w:sz w:val="22"/>
        </w:rPr>
        <w:t> </w:t>
      </w:r>
      <w:r>
        <w:rPr>
          <w:b/>
          <w:sz w:val="22"/>
        </w:rPr>
        <w:t>Kemandirian</w:t>
      </w:r>
      <w:r>
        <w:rPr>
          <w:b/>
          <w:spacing w:val="-6"/>
          <w:sz w:val="22"/>
        </w:rPr>
        <w:t> </w:t>
      </w:r>
      <w:r>
        <w:rPr>
          <w:b/>
          <w:sz w:val="22"/>
        </w:rPr>
        <w:t>Keuangan</w:t>
      </w:r>
      <w:r>
        <w:rPr>
          <w:b/>
          <w:spacing w:val="-6"/>
          <w:sz w:val="22"/>
        </w:rPr>
        <w:t> </w:t>
      </w:r>
      <w:r>
        <w:rPr>
          <w:b/>
          <w:spacing w:val="-2"/>
          <w:sz w:val="22"/>
        </w:rPr>
        <w:t>Daerah</w:t>
      </w:r>
    </w:p>
    <w:p>
      <w:pPr>
        <w:pStyle w:val="BodyText"/>
        <w:ind w:left="119" w:right="120" w:firstLine="710"/>
        <w:jc w:val="both"/>
      </w:pPr>
      <w:r>
        <w:rPr/>
        <w:t>Hasil penelitian ini menunjukkan bahwa PAD berpengaruh signifikan terhadap tingkat </w:t>
      </w:r>
      <w:r>
        <w:rPr>
          <w:position w:val="2"/>
        </w:rPr>
        <w:t>kemandirian, dengan nilai t-</w:t>
      </w:r>
      <w:r>
        <w:rPr>
          <w:sz w:val="14"/>
        </w:rPr>
        <w:t>hitung</w:t>
      </w:r>
      <w:r>
        <w:rPr>
          <w:spacing w:val="40"/>
          <w:sz w:val="14"/>
        </w:rPr>
        <w:t> </w:t>
      </w:r>
      <w:r>
        <w:rPr>
          <w:position w:val="2"/>
        </w:rPr>
        <w:t>2,939 &gt; t-</w:t>
      </w:r>
      <w:r>
        <w:rPr>
          <w:sz w:val="14"/>
        </w:rPr>
        <w:t>tabel</w:t>
      </w:r>
      <w:r>
        <w:rPr>
          <w:spacing w:val="40"/>
          <w:sz w:val="14"/>
        </w:rPr>
        <w:t> </w:t>
      </w:r>
      <w:r>
        <w:rPr>
          <w:position w:val="2"/>
        </w:rPr>
        <w:t>2,059 dan Tingkat signifikansi 0,007 &lt; 0,05. </w:t>
      </w:r>
      <w:r>
        <w:rPr/>
        <w:t>Penelitian ini konsisten dengan hasil penelitian </w:t>
      </w:r>
      <w:r>
        <w:rPr>
          <w:color w:val="000104"/>
        </w:rPr>
        <w:t>Simbolon (2011) dan Muliana (2009) yang menunjukkan</w:t>
      </w:r>
      <w:r>
        <w:rPr>
          <w:color w:val="000104"/>
          <w:spacing w:val="-5"/>
        </w:rPr>
        <w:t> </w:t>
      </w:r>
      <w:r>
        <w:rPr>
          <w:color w:val="000104"/>
        </w:rPr>
        <w:t>bahwa</w:t>
      </w:r>
      <w:r>
        <w:rPr>
          <w:color w:val="000104"/>
          <w:spacing w:val="-3"/>
        </w:rPr>
        <w:t> </w:t>
      </w:r>
      <w:r>
        <w:rPr/>
        <w:t>PAD</w:t>
      </w:r>
      <w:r>
        <w:rPr>
          <w:spacing w:val="-5"/>
        </w:rPr>
        <w:t> </w:t>
      </w:r>
      <w:r>
        <w:rPr>
          <w:color w:val="000104"/>
        </w:rPr>
        <w:t>berpengaruh</w:t>
      </w:r>
      <w:r>
        <w:rPr>
          <w:color w:val="000104"/>
          <w:spacing w:val="-5"/>
        </w:rPr>
        <w:t> </w:t>
      </w:r>
      <w:r>
        <w:rPr>
          <w:color w:val="000104"/>
        </w:rPr>
        <w:t>positif</w:t>
      </w:r>
      <w:r>
        <w:rPr>
          <w:color w:val="000104"/>
          <w:spacing w:val="-4"/>
        </w:rPr>
        <w:t> </w:t>
      </w:r>
      <w:r>
        <w:rPr>
          <w:color w:val="000104"/>
        </w:rPr>
        <w:t>terhadap</w:t>
      </w:r>
      <w:r>
        <w:rPr>
          <w:color w:val="000104"/>
          <w:spacing w:val="-5"/>
        </w:rPr>
        <w:t> </w:t>
      </w:r>
      <w:r>
        <w:rPr>
          <w:color w:val="000104"/>
        </w:rPr>
        <w:t>kemandirian</w:t>
      </w:r>
      <w:r>
        <w:rPr>
          <w:color w:val="000104"/>
          <w:spacing w:val="-5"/>
        </w:rPr>
        <w:t> </w:t>
      </w:r>
      <w:r>
        <w:rPr>
          <w:color w:val="000104"/>
        </w:rPr>
        <w:t>keuangan</w:t>
      </w:r>
      <w:r>
        <w:rPr>
          <w:color w:val="000104"/>
          <w:spacing w:val="-5"/>
        </w:rPr>
        <w:t> </w:t>
      </w:r>
      <w:r>
        <w:rPr>
          <w:color w:val="000104"/>
        </w:rPr>
        <w:t>daerah.</w:t>
      </w:r>
      <w:r>
        <w:rPr>
          <w:color w:val="000104"/>
          <w:spacing w:val="-3"/>
        </w:rPr>
        <w:t> </w:t>
      </w:r>
      <w:r>
        <w:rPr>
          <w:color w:val="000104"/>
        </w:rPr>
        <w:t>Namun penelitian</w:t>
      </w:r>
      <w:r>
        <w:rPr>
          <w:color w:val="000104"/>
          <w:spacing w:val="-13"/>
        </w:rPr>
        <w:t> </w:t>
      </w:r>
      <w:r>
        <w:rPr>
          <w:color w:val="000104"/>
        </w:rPr>
        <w:t>ini</w:t>
      </w:r>
      <w:r>
        <w:rPr>
          <w:color w:val="000104"/>
          <w:spacing w:val="-12"/>
        </w:rPr>
        <w:t> </w:t>
      </w:r>
      <w:r>
        <w:rPr>
          <w:color w:val="000104"/>
        </w:rPr>
        <w:t>berbeda</w:t>
      </w:r>
      <w:r>
        <w:rPr>
          <w:color w:val="000104"/>
          <w:spacing w:val="-13"/>
        </w:rPr>
        <w:t> </w:t>
      </w:r>
      <w:r>
        <w:rPr>
          <w:color w:val="000104"/>
        </w:rPr>
        <w:t>dengan</w:t>
      </w:r>
      <w:r>
        <w:rPr>
          <w:color w:val="000104"/>
          <w:spacing w:val="-12"/>
        </w:rPr>
        <w:t> </w:t>
      </w:r>
      <w:r>
        <w:rPr>
          <w:color w:val="000104"/>
        </w:rPr>
        <w:t>hasil</w:t>
      </w:r>
      <w:r>
        <w:rPr>
          <w:color w:val="000104"/>
          <w:spacing w:val="-13"/>
        </w:rPr>
        <w:t> </w:t>
      </w:r>
      <w:r>
        <w:rPr>
          <w:color w:val="000104"/>
        </w:rPr>
        <w:t>penelitian</w:t>
      </w:r>
      <w:r>
        <w:rPr>
          <w:color w:val="000104"/>
          <w:spacing w:val="-12"/>
        </w:rPr>
        <w:t> </w:t>
      </w:r>
      <w:r>
        <w:rPr/>
        <w:t>Utami</w:t>
      </w:r>
      <w:r>
        <w:rPr>
          <w:spacing w:val="-13"/>
        </w:rPr>
        <w:t> </w:t>
      </w:r>
      <w:r>
        <w:rPr/>
        <w:t>(2018)</w:t>
      </w:r>
      <w:r>
        <w:rPr>
          <w:spacing w:val="-12"/>
        </w:rPr>
        <w:t> </w:t>
      </w:r>
      <w:r>
        <w:rPr/>
        <w:t>yang</w:t>
      </w:r>
      <w:r>
        <w:rPr>
          <w:spacing w:val="-12"/>
        </w:rPr>
        <w:t> </w:t>
      </w:r>
      <w:r>
        <w:rPr/>
        <w:t>menunjukkan</w:t>
      </w:r>
      <w:r>
        <w:rPr>
          <w:spacing w:val="-12"/>
        </w:rPr>
        <w:t> </w:t>
      </w:r>
      <w:r>
        <w:rPr/>
        <w:t>bahwa</w:t>
      </w:r>
      <w:r>
        <w:rPr>
          <w:spacing w:val="-12"/>
        </w:rPr>
        <w:t> </w:t>
      </w:r>
      <w:r>
        <w:rPr/>
        <w:t>PAD</w:t>
      </w:r>
      <w:r>
        <w:rPr>
          <w:spacing w:val="-12"/>
        </w:rPr>
        <w:t> </w:t>
      </w:r>
      <w:r>
        <w:rPr/>
        <w:t>tidak mempengaruhi kemandirian keuangan daerah.</w:t>
      </w:r>
    </w:p>
    <w:p>
      <w:pPr>
        <w:pStyle w:val="BodyText"/>
        <w:spacing w:before="2"/>
        <w:ind w:left="119" w:right="120" w:firstLine="710"/>
        <w:jc w:val="both"/>
      </w:pPr>
      <w:r>
        <w:rPr/>
        <w:t>Secara teoritis PAD merupakan komponen pendapatan daerah yang dapat mengkonstruksikan kemandirian keuangan daerah, Dimana tinggi rendahnya PAD akan menentukan tinggi rendahnya kemampuan keuangan daerah dalam membiayai sendiri Pembangunan daerahnya. Hasil penelitian ini sesuai dengan teori tersebut, Hal ini mengindikasikan bahwa PAD merupakan pendapatan yang dapat menentukan kemampuan finansial</w:t>
      </w:r>
      <w:r>
        <w:rPr>
          <w:spacing w:val="30"/>
        </w:rPr>
        <w:t> </w:t>
      </w:r>
      <w:r>
        <w:rPr/>
        <w:t>pemerintah</w:t>
      </w:r>
      <w:r>
        <w:rPr>
          <w:spacing w:val="28"/>
        </w:rPr>
        <w:t> </w:t>
      </w:r>
      <w:r>
        <w:rPr/>
        <w:t>daerah</w:t>
      </w:r>
      <w:r>
        <w:rPr>
          <w:spacing w:val="28"/>
        </w:rPr>
        <w:t> </w:t>
      </w:r>
      <w:r>
        <w:rPr/>
        <w:t>dalam</w:t>
      </w:r>
      <w:r>
        <w:rPr>
          <w:spacing w:val="29"/>
        </w:rPr>
        <w:t> </w:t>
      </w:r>
      <w:r>
        <w:rPr/>
        <w:t>membiayai</w:t>
      </w:r>
      <w:r>
        <w:rPr>
          <w:spacing w:val="30"/>
        </w:rPr>
        <w:t> </w:t>
      </w:r>
      <w:r>
        <w:rPr/>
        <w:t>Pembangunan</w:t>
      </w:r>
      <w:r>
        <w:rPr>
          <w:spacing w:val="28"/>
        </w:rPr>
        <w:t> </w:t>
      </w:r>
      <w:r>
        <w:rPr/>
        <w:t>dan</w:t>
      </w:r>
      <w:r>
        <w:rPr>
          <w:spacing w:val="28"/>
        </w:rPr>
        <w:t> </w:t>
      </w:r>
      <w:r>
        <w:rPr/>
        <w:t>pemerintahannya</w:t>
      </w:r>
      <w:r>
        <w:rPr>
          <w:spacing w:val="28"/>
        </w:rPr>
        <w:t> </w:t>
      </w:r>
      <w:r>
        <w:rPr/>
        <w:t>sendiri,</w:t>
      </w:r>
    </w:p>
    <w:p>
      <w:pPr>
        <w:spacing w:after="0"/>
        <w:jc w:val="both"/>
        <w:sectPr>
          <w:pgSz w:w="11910" w:h="16840"/>
          <w:pgMar w:header="891" w:footer="1118" w:top="1640" w:bottom="1300" w:left="1580" w:right="1580"/>
        </w:sectPr>
      </w:pPr>
    </w:p>
    <w:p>
      <w:pPr>
        <w:pStyle w:val="BodyText"/>
        <w:spacing w:before="46"/>
        <w:ind w:left="119" w:right="117"/>
        <w:jc w:val="both"/>
      </w:pPr>
      <w:r>
        <w:rPr/>
        <w:t>PAD</w:t>
      </w:r>
      <w:r>
        <w:rPr>
          <w:spacing w:val="-13"/>
        </w:rPr>
        <w:t> </w:t>
      </w:r>
      <w:r>
        <w:rPr/>
        <w:t>berkontribusi</w:t>
      </w:r>
      <w:r>
        <w:rPr>
          <w:spacing w:val="-11"/>
        </w:rPr>
        <w:t> </w:t>
      </w:r>
      <w:r>
        <w:rPr/>
        <w:t>untuk</w:t>
      </w:r>
      <w:r>
        <w:rPr>
          <w:spacing w:val="-11"/>
        </w:rPr>
        <w:t> </w:t>
      </w:r>
      <w:r>
        <w:rPr/>
        <w:t>meningkatkan</w:t>
      </w:r>
      <w:r>
        <w:rPr>
          <w:spacing w:val="-13"/>
        </w:rPr>
        <w:t> </w:t>
      </w:r>
      <w:r>
        <w:rPr/>
        <w:t>kinerja</w:t>
      </w:r>
      <w:r>
        <w:rPr>
          <w:spacing w:val="-12"/>
        </w:rPr>
        <w:t> </w:t>
      </w:r>
      <w:r>
        <w:rPr/>
        <w:t>keuangan</w:t>
      </w:r>
      <w:r>
        <w:rPr>
          <w:spacing w:val="-13"/>
        </w:rPr>
        <w:t> </w:t>
      </w:r>
      <w:r>
        <w:rPr/>
        <w:t>Pemerintah</w:t>
      </w:r>
      <w:r>
        <w:rPr>
          <w:spacing w:val="-12"/>
        </w:rPr>
        <w:t> </w:t>
      </w:r>
      <w:r>
        <w:rPr/>
        <w:t>daerah,</w:t>
      </w:r>
      <w:r>
        <w:rPr>
          <w:spacing w:val="-13"/>
        </w:rPr>
        <w:t> </w:t>
      </w:r>
      <w:r>
        <w:rPr/>
        <w:t>hal</w:t>
      </w:r>
      <w:r>
        <w:rPr>
          <w:spacing w:val="-4"/>
        </w:rPr>
        <w:t> </w:t>
      </w:r>
      <w:r>
        <w:rPr/>
        <w:t>ini</w:t>
      </w:r>
      <w:r>
        <w:rPr>
          <w:spacing w:val="-10"/>
        </w:rPr>
        <w:t> </w:t>
      </w:r>
      <w:r>
        <w:rPr/>
        <w:t>disebabkan karena</w:t>
      </w:r>
      <w:r>
        <w:rPr>
          <w:spacing w:val="-2"/>
        </w:rPr>
        <w:t> </w:t>
      </w:r>
      <w:r>
        <w:rPr/>
        <w:t>PAD</w:t>
      </w:r>
      <w:r>
        <w:rPr>
          <w:spacing w:val="-3"/>
        </w:rPr>
        <w:t> </w:t>
      </w:r>
      <w:r>
        <w:rPr/>
        <w:t>merupakan</w:t>
      </w:r>
      <w:r>
        <w:rPr>
          <w:spacing w:val="-3"/>
        </w:rPr>
        <w:t> </w:t>
      </w:r>
      <w:r>
        <w:rPr/>
        <w:t>sumber</w:t>
      </w:r>
      <w:r>
        <w:rPr>
          <w:spacing w:val="-2"/>
        </w:rPr>
        <w:t> </w:t>
      </w:r>
      <w:r>
        <w:rPr/>
        <w:t>daya</w:t>
      </w:r>
      <w:r>
        <w:rPr>
          <w:spacing w:val="-2"/>
        </w:rPr>
        <w:t> </w:t>
      </w:r>
      <w:r>
        <w:rPr/>
        <w:t>dipergunakan</w:t>
      </w:r>
      <w:r>
        <w:rPr>
          <w:spacing w:val="-3"/>
        </w:rPr>
        <w:t> </w:t>
      </w:r>
      <w:r>
        <w:rPr/>
        <w:t>untuk</w:t>
      </w:r>
      <w:r>
        <w:rPr>
          <w:spacing w:val="-2"/>
        </w:rPr>
        <w:t> </w:t>
      </w:r>
      <w:r>
        <w:rPr/>
        <w:t>kegiatan</w:t>
      </w:r>
      <w:r>
        <w:rPr>
          <w:spacing w:val="-3"/>
        </w:rPr>
        <w:t> </w:t>
      </w:r>
      <w:r>
        <w:rPr/>
        <w:t>pembangunan</w:t>
      </w:r>
      <w:r>
        <w:rPr>
          <w:spacing w:val="-3"/>
        </w:rPr>
        <w:t> </w:t>
      </w:r>
      <w:r>
        <w:rPr/>
        <w:t>daerah, oleh karena</w:t>
      </w:r>
      <w:r>
        <w:rPr>
          <w:spacing w:val="-12"/>
        </w:rPr>
        <w:t> </w:t>
      </w:r>
      <w:r>
        <w:rPr/>
        <w:t>itu</w:t>
      </w:r>
      <w:r>
        <w:rPr>
          <w:spacing w:val="-13"/>
        </w:rPr>
        <w:t> </w:t>
      </w:r>
      <w:r>
        <w:rPr/>
        <w:t>pemerintah</w:t>
      </w:r>
      <w:r>
        <w:rPr>
          <w:spacing w:val="-12"/>
        </w:rPr>
        <w:t> </w:t>
      </w:r>
      <w:r>
        <w:rPr/>
        <w:t>daerah</w:t>
      </w:r>
      <w:r>
        <w:rPr>
          <w:spacing w:val="-7"/>
        </w:rPr>
        <w:t> </w:t>
      </w:r>
      <w:r>
        <w:rPr/>
        <w:t>harus</w:t>
      </w:r>
      <w:r>
        <w:rPr>
          <w:spacing w:val="-12"/>
        </w:rPr>
        <w:t> </w:t>
      </w:r>
      <w:r>
        <w:rPr/>
        <w:t>mampu</w:t>
      </w:r>
      <w:r>
        <w:rPr>
          <w:spacing w:val="-13"/>
        </w:rPr>
        <w:t> </w:t>
      </w:r>
      <w:r>
        <w:rPr/>
        <w:t>menggali</w:t>
      </w:r>
      <w:r>
        <w:rPr>
          <w:spacing w:val="-9"/>
        </w:rPr>
        <w:t> </w:t>
      </w:r>
      <w:r>
        <w:rPr/>
        <w:t>potensi</w:t>
      </w:r>
      <w:r>
        <w:rPr>
          <w:spacing w:val="-9"/>
        </w:rPr>
        <w:t> </w:t>
      </w:r>
      <w:r>
        <w:rPr/>
        <w:t>PAD</w:t>
      </w:r>
      <w:r>
        <w:rPr>
          <w:spacing w:val="-13"/>
        </w:rPr>
        <w:t> </w:t>
      </w:r>
      <w:r>
        <w:rPr/>
        <w:t>nya</w:t>
      </w:r>
      <w:r>
        <w:rPr>
          <w:spacing w:val="-11"/>
        </w:rPr>
        <w:t> </w:t>
      </w:r>
      <w:r>
        <w:rPr/>
        <w:t>agar</w:t>
      </w:r>
      <w:r>
        <w:rPr>
          <w:spacing w:val="-12"/>
        </w:rPr>
        <w:t> </w:t>
      </w:r>
      <w:r>
        <w:rPr/>
        <w:t>dapat</w:t>
      </w:r>
      <w:r>
        <w:rPr>
          <w:spacing w:val="-8"/>
        </w:rPr>
        <w:t> </w:t>
      </w:r>
      <w:r>
        <w:rPr/>
        <w:t>berkontribusi terhadap pendapatan dan menciptakan kemandirian keuangan daerah serta mewujudkan tujuan utama</w:t>
      </w:r>
      <w:r>
        <w:rPr>
          <w:spacing w:val="40"/>
        </w:rPr>
        <w:t> </w:t>
      </w:r>
      <w:r>
        <w:rPr/>
        <w:t>otonomi daerah. Dapat disimpulkan PAD yang tinggi akan meningkatkan kemandirian keuangan Daerah.</w:t>
      </w:r>
    </w:p>
    <w:p>
      <w:pPr>
        <w:pStyle w:val="BodyText"/>
        <w:spacing w:before="2"/>
      </w:pPr>
    </w:p>
    <w:p>
      <w:pPr>
        <w:pStyle w:val="Heading2"/>
        <w:jc w:val="both"/>
      </w:pPr>
      <w:r>
        <w:rPr/>
        <w:t>Pengaruh</w:t>
      </w:r>
      <w:r>
        <w:rPr>
          <w:spacing w:val="-8"/>
        </w:rPr>
        <w:t> </w:t>
      </w:r>
      <w:r>
        <w:rPr/>
        <w:t>Belanja</w:t>
      </w:r>
      <w:r>
        <w:rPr>
          <w:spacing w:val="-6"/>
        </w:rPr>
        <w:t> </w:t>
      </w:r>
      <w:r>
        <w:rPr/>
        <w:t>Modal</w:t>
      </w:r>
      <w:r>
        <w:rPr>
          <w:spacing w:val="-6"/>
        </w:rPr>
        <w:t> </w:t>
      </w:r>
      <w:r>
        <w:rPr/>
        <w:t>Terhadap</w:t>
      </w:r>
      <w:r>
        <w:rPr>
          <w:spacing w:val="-6"/>
        </w:rPr>
        <w:t> </w:t>
      </w:r>
      <w:r>
        <w:rPr/>
        <w:t>Kemandirian</w:t>
      </w:r>
      <w:r>
        <w:rPr>
          <w:spacing w:val="-6"/>
        </w:rPr>
        <w:t> </w:t>
      </w:r>
      <w:r>
        <w:rPr/>
        <w:t>Keuangan</w:t>
      </w:r>
      <w:r>
        <w:rPr>
          <w:spacing w:val="-5"/>
        </w:rPr>
        <w:t> </w:t>
      </w:r>
      <w:r>
        <w:rPr>
          <w:spacing w:val="-2"/>
        </w:rPr>
        <w:t>Daerah</w:t>
      </w:r>
    </w:p>
    <w:p>
      <w:pPr>
        <w:pStyle w:val="BodyText"/>
        <w:ind w:left="119" w:right="116" w:firstLine="427"/>
        <w:jc w:val="both"/>
      </w:pPr>
      <w:r>
        <w:rPr/>
        <w:t>Hasil penelitian ini menunjukkan bahwa belanja modal berpengaruh signifikan terhadap </w:t>
      </w:r>
      <w:r>
        <w:rPr>
          <w:position w:val="2"/>
        </w:rPr>
        <w:t>tingkat</w:t>
      </w:r>
      <w:r>
        <w:rPr>
          <w:spacing w:val="-13"/>
          <w:position w:val="2"/>
        </w:rPr>
        <w:t> </w:t>
      </w:r>
      <w:r>
        <w:rPr>
          <w:position w:val="2"/>
        </w:rPr>
        <w:t>kemandirian,</w:t>
      </w:r>
      <w:r>
        <w:rPr>
          <w:spacing w:val="-12"/>
          <w:position w:val="2"/>
        </w:rPr>
        <w:t> </w:t>
      </w:r>
      <w:r>
        <w:rPr>
          <w:position w:val="2"/>
        </w:rPr>
        <w:t>dengan</w:t>
      </w:r>
      <w:r>
        <w:rPr>
          <w:spacing w:val="-13"/>
          <w:position w:val="2"/>
        </w:rPr>
        <w:t> </w:t>
      </w:r>
      <w:r>
        <w:rPr>
          <w:position w:val="2"/>
        </w:rPr>
        <w:t>nilai</w:t>
      </w:r>
      <w:r>
        <w:rPr>
          <w:spacing w:val="-12"/>
          <w:position w:val="2"/>
        </w:rPr>
        <w:t> </w:t>
      </w:r>
      <w:r>
        <w:rPr>
          <w:position w:val="2"/>
        </w:rPr>
        <w:t>t-</w:t>
      </w:r>
      <w:r>
        <w:rPr>
          <w:sz w:val="14"/>
        </w:rPr>
        <w:t>hitung</w:t>
      </w:r>
      <w:r>
        <w:rPr>
          <w:spacing w:val="6"/>
          <w:sz w:val="14"/>
        </w:rPr>
        <w:t> </w:t>
      </w:r>
      <w:r>
        <w:rPr>
          <w:position w:val="2"/>
        </w:rPr>
        <w:t>5,710</w:t>
      </w:r>
      <w:r>
        <w:rPr>
          <w:spacing w:val="-9"/>
          <w:position w:val="2"/>
        </w:rPr>
        <w:t> </w:t>
      </w:r>
      <w:r>
        <w:rPr>
          <w:position w:val="2"/>
        </w:rPr>
        <w:t>&gt;</w:t>
      </w:r>
      <w:r>
        <w:rPr>
          <w:spacing w:val="-7"/>
          <w:position w:val="2"/>
        </w:rPr>
        <w:t> </w:t>
      </w:r>
      <w:r>
        <w:rPr>
          <w:position w:val="2"/>
        </w:rPr>
        <w:t>t-</w:t>
      </w:r>
      <w:r>
        <w:rPr>
          <w:sz w:val="14"/>
        </w:rPr>
        <w:t>tabel</w:t>
      </w:r>
      <w:r>
        <w:rPr>
          <w:spacing w:val="13"/>
          <w:sz w:val="14"/>
        </w:rPr>
        <w:t> </w:t>
      </w:r>
      <w:r>
        <w:rPr>
          <w:position w:val="2"/>
        </w:rPr>
        <w:t>2,059</w:t>
      </w:r>
      <w:r>
        <w:rPr>
          <w:spacing w:val="-8"/>
          <w:position w:val="2"/>
        </w:rPr>
        <w:t> </w:t>
      </w:r>
      <w:r>
        <w:rPr>
          <w:position w:val="2"/>
        </w:rPr>
        <w:t>dan</w:t>
      </w:r>
      <w:r>
        <w:rPr>
          <w:spacing w:val="-8"/>
          <w:position w:val="2"/>
        </w:rPr>
        <w:t> </w:t>
      </w:r>
      <w:r>
        <w:rPr>
          <w:position w:val="2"/>
        </w:rPr>
        <w:t>Tingkat</w:t>
      </w:r>
      <w:r>
        <w:rPr>
          <w:spacing w:val="-13"/>
          <w:position w:val="2"/>
        </w:rPr>
        <w:t> </w:t>
      </w:r>
      <w:r>
        <w:rPr>
          <w:position w:val="2"/>
        </w:rPr>
        <w:t>signifikansi</w:t>
      </w:r>
      <w:r>
        <w:rPr>
          <w:spacing w:val="-10"/>
          <w:position w:val="2"/>
        </w:rPr>
        <w:t> </w:t>
      </w:r>
      <w:r>
        <w:rPr>
          <w:position w:val="2"/>
        </w:rPr>
        <w:t>0,000</w:t>
      </w:r>
      <w:r>
        <w:rPr>
          <w:spacing w:val="-9"/>
          <w:position w:val="2"/>
        </w:rPr>
        <w:t> </w:t>
      </w:r>
      <w:r>
        <w:rPr>
          <w:position w:val="2"/>
        </w:rPr>
        <w:t>&lt;</w:t>
      </w:r>
      <w:r>
        <w:rPr>
          <w:spacing w:val="-7"/>
          <w:position w:val="2"/>
        </w:rPr>
        <w:t> </w:t>
      </w:r>
      <w:r>
        <w:rPr>
          <w:position w:val="2"/>
        </w:rPr>
        <w:t>0,05. </w:t>
      </w:r>
      <w:r>
        <w:rPr/>
        <w:t>Hasil</w:t>
      </w:r>
      <w:r>
        <w:rPr>
          <w:spacing w:val="-13"/>
        </w:rPr>
        <w:t> </w:t>
      </w:r>
      <w:r>
        <w:rPr/>
        <w:t>penelitian</w:t>
      </w:r>
      <w:r>
        <w:rPr>
          <w:spacing w:val="-12"/>
        </w:rPr>
        <w:t> </w:t>
      </w:r>
      <w:r>
        <w:rPr/>
        <w:t>ini</w:t>
      </w:r>
      <w:r>
        <w:rPr>
          <w:spacing w:val="-13"/>
        </w:rPr>
        <w:t> </w:t>
      </w:r>
      <w:r>
        <w:rPr/>
        <w:t>sejalan</w:t>
      </w:r>
      <w:r>
        <w:rPr>
          <w:spacing w:val="-12"/>
        </w:rPr>
        <w:t> </w:t>
      </w:r>
      <w:r>
        <w:rPr/>
        <w:t>dengan</w:t>
      </w:r>
      <w:r>
        <w:rPr>
          <w:spacing w:val="-13"/>
        </w:rPr>
        <w:t> </w:t>
      </w:r>
      <w:r>
        <w:rPr>
          <w:color w:val="000104"/>
        </w:rPr>
        <w:t>hasil</w:t>
      </w:r>
      <w:r>
        <w:rPr>
          <w:color w:val="000104"/>
          <w:spacing w:val="-12"/>
        </w:rPr>
        <w:t> </w:t>
      </w:r>
      <w:r>
        <w:rPr>
          <w:color w:val="000104"/>
        </w:rPr>
        <w:t>penelitian</w:t>
      </w:r>
      <w:r>
        <w:rPr>
          <w:color w:val="000104"/>
          <w:spacing w:val="-13"/>
        </w:rPr>
        <w:t> </w:t>
      </w:r>
      <w:r>
        <w:rPr>
          <w:color w:val="000104"/>
        </w:rPr>
        <w:t>Ariani</w:t>
      </w:r>
      <w:r>
        <w:rPr>
          <w:color w:val="000104"/>
          <w:spacing w:val="-12"/>
        </w:rPr>
        <w:t> </w:t>
      </w:r>
      <w:r>
        <w:rPr>
          <w:color w:val="000104"/>
        </w:rPr>
        <w:t>dan</w:t>
      </w:r>
      <w:r>
        <w:rPr>
          <w:color w:val="000104"/>
          <w:spacing w:val="-12"/>
        </w:rPr>
        <w:t> </w:t>
      </w:r>
      <w:r>
        <w:rPr>
          <w:color w:val="000104"/>
        </w:rPr>
        <w:t>Putri</w:t>
      </w:r>
      <w:r>
        <w:rPr>
          <w:color w:val="000104"/>
          <w:spacing w:val="-13"/>
        </w:rPr>
        <w:t> </w:t>
      </w:r>
      <w:r>
        <w:rPr>
          <w:color w:val="000104"/>
        </w:rPr>
        <w:t>(2016)</w:t>
      </w:r>
      <w:r>
        <w:rPr>
          <w:color w:val="000104"/>
          <w:spacing w:val="-12"/>
        </w:rPr>
        <w:t> </w:t>
      </w:r>
      <w:r>
        <w:rPr>
          <w:color w:val="000104"/>
        </w:rPr>
        <w:t>dan</w:t>
      </w:r>
      <w:r>
        <w:rPr>
          <w:color w:val="000104"/>
          <w:spacing w:val="-13"/>
        </w:rPr>
        <w:t> </w:t>
      </w:r>
      <w:r>
        <w:rPr>
          <w:color w:val="000104"/>
        </w:rPr>
        <w:t>Simatupang</w:t>
      </w:r>
      <w:r>
        <w:rPr>
          <w:color w:val="000104"/>
          <w:spacing w:val="-9"/>
        </w:rPr>
        <w:t> </w:t>
      </w:r>
      <w:r>
        <w:rPr>
          <w:color w:val="000104"/>
        </w:rPr>
        <w:t>(2016) yang menunjukkan bahwa belanja modal berpengeruh positif terhadap kemandirian keuangan daerah. Namun h</w:t>
      </w:r>
      <w:r>
        <w:rPr/>
        <w:t>asil penelitian tidak sejalan dengan hasil hasil penelitian Utari (2020) yang menunjukkan</w:t>
      </w:r>
      <w:r>
        <w:rPr>
          <w:spacing w:val="40"/>
        </w:rPr>
        <w:t> </w:t>
      </w:r>
      <w:r>
        <w:rPr/>
        <w:t>bahwa belanja modal tidak mempengaruhi tingkat kemandirian.</w:t>
      </w:r>
      <w:r>
        <w:rPr>
          <w:color w:val="000104"/>
        </w:rPr>
        <w:t>.</w:t>
      </w:r>
    </w:p>
    <w:p>
      <w:pPr>
        <w:pStyle w:val="BodyText"/>
        <w:spacing w:before="2"/>
        <w:ind w:left="119" w:right="113" w:firstLine="427"/>
        <w:jc w:val="both"/>
      </w:pPr>
      <w:r>
        <w:rPr/>
        <w:t>Belanja modal merupakan belanja asset tetap dan asset lainnya yang dapat memberikan manfaat lebih dari 12 bulan, Alokasi belanja modal yang tepat dapat memberikan fasilitas dan pelayanan</w:t>
      </w:r>
      <w:r>
        <w:rPr>
          <w:spacing w:val="-1"/>
        </w:rPr>
        <w:t> </w:t>
      </w:r>
      <w:r>
        <w:rPr/>
        <w:t>yang</w:t>
      </w:r>
      <w:r>
        <w:rPr>
          <w:spacing w:val="-3"/>
        </w:rPr>
        <w:t> </w:t>
      </w:r>
      <w:r>
        <w:rPr/>
        <w:t>lebih baik pada Masyarakat</w:t>
      </w:r>
      <w:r>
        <w:rPr>
          <w:spacing w:val="-2"/>
        </w:rPr>
        <w:t> </w:t>
      </w:r>
      <w:r>
        <w:rPr/>
        <w:t>sehingga akan berkontribusi pada pendapatan</w:t>
      </w:r>
      <w:r>
        <w:rPr>
          <w:spacing w:val="-1"/>
        </w:rPr>
        <w:t> </w:t>
      </w:r>
      <w:r>
        <w:rPr/>
        <w:t>dan transformasi ekonomi daerah (Dina Apriana, 2023). Hasil penelitian ini sesuai dengan teori tersebut yang menunjukkan bahwa belanja modal berpengaruh terhadap kemandirian keuangan daerah, hal ini mengindikasikan bahwa besaran alokasi belanja modal mampu pada pemerintah daerah kab/kota di provinsi jawa Barat mampu mengoptimalkan pembangunan daerah,</w:t>
      </w:r>
      <w:r>
        <w:rPr>
          <w:spacing w:val="-13"/>
        </w:rPr>
        <w:t> </w:t>
      </w:r>
      <w:r>
        <w:rPr/>
        <w:t>seperti</w:t>
      </w:r>
      <w:r>
        <w:rPr>
          <w:spacing w:val="-12"/>
        </w:rPr>
        <w:t> </w:t>
      </w:r>
      <w:r>
        <w:rPr/>
        <w:t>pembangunan</w:t>
      </w:r>
      <w:r>
        <w:rPr>
          <w:spacing w:val="-13"/>
        </w:rPr>
        <w:t> </w:t>
      </w:r>
      <w:r>
        <w:rPr/>
        <w:t>infrastruktur</w:t>
      </w:r>
      <w:r>
        <w:rPr>
          <w:spacing w:val="-12"/>
        </w:rPr>
        <w:t> </w:t>
      </w:r>
      <w:r>
        <w:rPr/>
        <w:t>penghubung</w:t>
      </w:r>
      <w:r>
        <w:rPr>
          <w:spacing w:val="-13"/>
        </w:rPr>
        <w:t> </w:t>
      </w:r>
      <w:r>
        <w:rPr/>
        <w:t>antar</w:t>
      </w:r>
      <w:r>
        <w:rPr>
          <w:spacing w:val="-12"/>
        </w:rPr>
        <w:t> </w:t>
      </w:r>
      <w:r>
        <w:rPr/>
        <w:t>daerah.</w:t>
      </w:r>
      <w:r>
        <w:rPr>
          <w:spacing w:val="-13"/>
        </w:rPr>
        <w:t> </w:t>
      </w:r>
      <w:r>
        <w:rPr/>
        <w:t>Tingginya</w:t>
      </w:r>
      <w:r>
        <w:rPr>
          <w:spacing w:val="-12"/>
        </w:rPr>
        <w:t> </w:t>
      </w:r>
      <w:r>
        <w:rPr/>
        <w:t>jumlah</w:t>
      </w:r>
      <w:r>
        <w:rPr>
          <w:spacing w:val="-12"/>
        </w:rPr>
        <w:t> </w:t>
      </w:r>
      <w:r>
        <w:rPr/>
        <w:t>Belanja modal dapat mengoptimalkan kualitas pelayanan publik dan dapat mengoptimalkan keikutsertaan publik dalam pembangunan melalui peningkatan PAD. Kelengkapan fasilitas publik dapat memberikan kenyamanan masyarakat, sehingga terwujudkan pembangunan daerah yang sesuai dengan harapan masyarakat daerah. Disimpulkan bahwa belanja modal berpengaruh terhadap kemandirian keuangan daerah.</w:t>
      </w:r>
    </w:p>
    <w:p>
      <w:pPr>
        <w:pStyle w:val="BodyText"/>
      </w:pPr>
    </w:p>
    <w:p>
      <w:pPr>
        <w:pStyle w:val="Heading2"/>
        <w:jc w:val="both"/>
      </w:pPr>
      <w:r>
        <w:rPr/>
        <w:t>Pengaruh</w:t>
      </w:r>
      <w:r>
        <w:rPr>
          <w:spacing w:val="-8"/>
        </w:rPr>
        <w:t> </w:t>
      </w:r>
      <w:r>
        <w:rPr/>
        <w:t>PAD</w:t>
      </w:r>
      <w:r>
        <w:rPr>
          <w:spacing w:val="-6"/>
        </w:rPr>
        <w:t> </w:t>
      </w:r>
      <w:r>
        <w:rPr/>
        <w:t>dan</w:t>
      </w:r>
      <w:r>
        <w:rPr>
          <w:spacing w:val="-5"/>
        </w:rPr>
        <w:t> </w:t>
      </w:r>
      <w:r>
        <w:rPr/>
        <w:t>Belanja</w:t>
      </w:r>
      <w:r>
        <w:rPr>
          <w:spacing w:val="-5"/>
        </w:rPr>
        <w:t> </w:t>
      </w:r>
      <w:r>
        <w:rPr/>
        <w:t>Modal</w:t>
      </w:r>
      <w:r>
        <w:rPr>
          <w:spacing w:val="42"/>
        </w:rPr>
        <w:t> </w:t>
      </w:r>
      <w:r>
        <w:rPr/>
        <w:t>Terhadap</w:t>
      </w:r>
      <w:r>
        <w:rPr>
          <w:spacing w:val="-5"/>
        </w:rPr>
        <w:t> </w:t>
      </w:r>
      <w:r>
        <w:rPr/>
        <w:t>Kemandirian</w:t>
      </w:r>
      <w:r>
        <w:rPr>
          <w:spacing w:val="-5"/>
        </w:rPr>
        <w:t> </w:t>
      </w:r>
      <w:r>
        <w:rPr/>
        <w:t>Keuangan</w:t>
      </w:r>
      <w:r>
        <w:rPr>
          <w:spacing w:val="-5"/>
        </w:rPr>
        <w:t> </w:t>
      </w:r>
      <w:r>
        <w:rPr>
          <w:spacing w:val="-2"/>
        </w:rPr>
        <w:t>Daerah</w:t>
      </w:r>
    </w:p>
    <w:p>
      <w:pPr>
        <w:pStyle w:val="BodyText"/>
        <w:spacing w:before="1"/>
        <w:ind w:left="119" w:right="119" w:firstLine="710"/>
        <w:jc w:val="both"/>
      </w:pPr>
      <w:r>
        <w:rPr/>
        <w:t>Hasil uji ANOVA untuk uji simultan menunjukan nilai Pvalue sebesar 0,000 &lt; 0,05 atau </w:t>
      </w:r>
      <w:r>
        <w:rPr>
          <w:position w:val="2"/>
        </w:rPr>
        <w:t>nilai F-</w:t>
      </w:r>
      <w:r>
        <w:rPr>
          <w:sz w:val="14"/>
        </w:rPr>
        <w:t>hitung </w:t>
      </w:r>
      <w:r>
        <w:rPr>
          <w:position w:val="2"/>
        </w:rPr>
        <w:t>16,764 &lt; nilai F-</w:t>
      </w:r>
      <w:r>
        <w:rPr>
          <w:sz w:val="14"/>
        </w:rPr>
        <w:t>tabel</w:t>
      </w:r>
      <w:r>
        <w:rPr>
          <w:spacing w:val="40"/>
          <w:sz w:val="14"/>
        </w:rPr>
        <w:t> </w:t>
      </w:r>
      <w:r>
        <w:rPr>
          <w:position w:val="2"/>
        </w:rPr>
        <w:t>3,403. Maka secara simultan PAD dan belanja modal </w:t>
      </w:r>
      <w:r>
        <w:rPr/>
        <w:t>mempengaruhi Tingkat Kemandirian Daerah. Kedua variabel tersebut menyumbang 0,583 (58,3%) terhadap variabel independent, sementara itu sisanya 41,7% dipengaruhi variabel </w:t>
      </w:r>
      <w:r>
        <w:rPr>
          <w:spacing w:val="-2"/>
        </w:rPr>
        <w:t>lainnya.</w:t>
      </w:r>
    </w:p>
    <w:p>
      <w:pPr>
        <w:pStyle w:val="BodyText"/>
        <w:spacing w:line="237" w:lineRule="auto" w:before="3"/>
        <w:ind w:left="119" w:right="117" w:firstLine="720"/>
        <w:jc w:val="both"/>
      </w:pPr>
      <w:r>
        <w:rPr/>
        <w:t>Hasil</w:t>
      </w:r>
      <w:r>
        <w:rPr>
          <w:spacing w:val="-5"/>
        </w:rPr>
        <w:t> </w:t>
      </w:r>
      <w:r>
        <w:rPr/>
        <w:t>ini</w:t>
      </w:r>
      <w:r>
        <w:rPr>
          <w:spacing w:val="-5"/>
        </w:rPr>
        <w:t> </w:t>
      </w:r>
      <w:r>
        <w:rPr/>
        <w:t>sejalan</w:t>
      </w:r>
      <w:r>
        <w:rPr>
          <w:spacing w:val="-8"/>
        </w:rPr>
        <w:t> </w:t>
      </w:r>
      <w:r>
        <w:rPr/>
        <w:t>dengan</w:t>
      </w:r>
      <w:r>
        <w:rPr>
          <w:spacing w:val="-8"/>
        </w:rPr>
        <w:t> </w:t>
      </w:r>
      <w:r>
        <w:rPr/>
        <w:t>hasil</w:t>
      </w:r>
      <w:r>
        <w:rPr>
          <w:spacing w:val="-5"/>
        </w:rPr>
        <w:t> </w:t>
      </w:r>
      <w:r>
        <w:rPr/>
        <w:t>studi</w:t>
      </w:r>
      <w:r>
        <w:rPr>
          <w:spacing w:val="-5"/>
        </w:rPr>
        <w:t> </w:t>
      </w:r>
      <w:r>
        <w:rPr/>
        <w:t>dari</w:t>
      </w:r>
      <w:r>
        <w:rPr>
          <w:spacing w:val="-4"/>
        </w:rPr>
        <w:t> </w:t>
      </w:r>
      <w:r>
        <w:rPr/>
        <w:t>(Yayang</w:t>
      </w:r>
      <w:r>
        <w:rPr>
          <w:spacing w:val="-6"/>
        </w:rPr>
        <w:t> </w:t>
      </w:r>
      <w:r>
        <w:rPr/>
        <w:t>Bella,</w:t>
      </w:r>
      <w:r>
        <w:rPr>
          <w:spacing w:val="-9"/>
        </w:rPr>
        <w:t> </w:t>
      </w:r>
      <w:r>
        <w:rPr/>
        <w:t>tri</w:t>
      </w:r>
      <w:r>
        <w:rPr>
          <w:spacing w:val="-5"/>
        </w:rPr>
        <w:t> </w:t>
      </w:r>
      <w:r>
        <w:rPr/>
        <w:t>Purwani,</w:t>
      </w:r>
      <w:r>
        <w:rPr>
          <w:spacing w:val="-9"/>
        </w:rPr>
        <w:t> </w:t>
      </w:r>
      <w:r>
        <w:rPr/>
        <w:t>2023)</w:t>
      </w:r>
      <w:r>
        <w:rPr>
          <w:spacing w:val="-1"/>
        </w:rPr>
        <w:t> </w:t>
      </w:r>
      <w:r>
        <w:rPr/>
        <w:t>secara</w:t>
      </w:r>
      <w:r>
        <w:rPr>
          <w:spacing w:val="-8"/>
        </w:rPr>
        <w:t> </w:t>
      </w:r>
      <w:r>
        <w:rPr/>
        <w:t>simultan variabel</w:t>
      </w:r>
      <w:r>
        <w:rPr>
          <w:spacing w:val="40"/>
        </w:rPr>
        <w:t> </w:t>
      </w:r>
      <w:r>
        <w:rPr/>
        <w:t>PAD,</w:t>
      </w:r>
      <w:r>
        <w:rPr>
          <w:spacing w:val="40"/>
        </w:rPr>
        <w:t> </w:t>
      </w:r>
      <w:r>
        <w:rPr/>
        <w:t>DAU</w:t>
      </w:r>
      <w:r>
        <w:rPr>
          <w:spacing w:val="40"/>
        </w:rPr>
        <w:t> </w:t>
      </w:r>
      <w:r>
        <w:rPr/>
        <w:t>dan</w:t>
      </w:r>
      <w:r>
        <w:rPr>
          <w:spacing w:val="40"/>
        </w:rPr>
        <w:t> </w:t>
      </w:r>
      <w:r>
        <w:rPr/>
        <w:t>belanja</w:t>
      </w:r>
      <w:r>
        <w:rPr>
          <w:spacing w:val="-3"/>
        </w:rPr>
        <w:t> </w:t>
      </w:r>
      <w:r>
        <w:rPr/>
        <w:t>modal</w:t>
      </w:r>
      <w:r>
        <w:rPr>
          <w:spacing w:val="-2"/>
        </w:rPr>
        <w:t> </w:t>
      </w:r>
      <w:r>
        <w:rPr/>
        <w:t>mempengaruhi</w:t>
      </w:r>
      <w:r>
        <w:rPr>
          <w:spacing w:val="-1"/>
        </w:rPr>
        <w:t> </w:t>
      </w:r>
      <w:r>
        <w:rPr/>
        <w:t>positif</w:t>
      </w:r>
      <w:r>
        <w:rPr>
          <w:spacing w:val="-3"/>
        </w:rPr>
        <w:t> </w:t>
      </w:r>
      <w:r>
        <w:rPr/>
        <w:t>signifikan</w:t>
      </w:r>
      <w:r>
        <w:rPr>
          <w:spacing w:val="-4"/>
        </w:rPr>
        <w:t> </w:t>
      </w:r>
      <w:r>
        <w:rPr/>
        <w:t>terhadap</w:t>
      </w:r>
      <w:r>
        <w:rPr>
          <w:spacing w:val="-4"/>
        </w:rPr>
        <w:t> </w:t>
      </w:r>
      <w:r>
        <w:rPr/>
        <w:t>kemandirian keuangan daerah.</w:t>
      </w:r>
    </w:p>
    <w:p>
      <w:pPr>
        <w:pStyle w:val="BodyText"/>
        <w:spacing w:before="2"/>
      </w:pPr>
    </w:p>
    <w:p>
      <w:pPr>
        <w:pStyle w:val="Heading1"/>
        <w:spacing w:before="1"/>
      </w:pPr>
      <w:bookmarkStart w:name="KESIMPULAN" w:id="5"/>
      <w:bookmarkEnd w:id="5"/>
      <w:r>
        <w:rPr>
          <w:b w:val="0"/>
        </w:rPr>
      </w:r>
      <w:r>
        <w:rPr>
          <w:spacing w:val="-2"/>
        </w:rPr>
        <w:t>KESIMPULAN</w:t>
      </w:r>
    </w:p>
    <w:p>
      <w:pPr>
        <w:pStyle w:val="BodyText"/>
        <w:ind w:left="830"/>
      </w:pPr>
      <w:r>
        <w:rPr/>
        <w:t>Didasarkan</w:t>
      </w:r>
      <w:r>
        <w:rPr>
          <w:spacing w:val="-9"/>
        </w:rPr>
        <w:t> </w:t>
      </w:r>
      <w:r>
        <w:rPr/>
        <w:t>hasil</w:t>
      </w:r>
      <w:r>
        <w:rPr>
          <w:spacing w:val="-4"/>
        </w:rPr>
        <w:t> </w:t>
      </w:r>
      <w:r>
        <w:rPr/>
        <w:t>penelitian</w:t>
      </w:r>
      <w:r>
        <w:rPr>
          <w:spacing w:val="-8"/>
        </w:rPr>
        <w:t> </w:t>
      </w:r>
      <w:r>
        <w:rPr/>
        <w:t>ini</w:t>
      </w:r>
      <w:r>
        <w:rPr>
          <w:spacing w:val="-5"/>
        </w:rPr>
        <w:t> </w:t>
      </w:r>
      <w:r>
        <w:rPr/>
        <w:t>maka</w:t>
      </w:r>
      <w:r>
        <w:rPr>
          <w:spacing w:val="-6"/>
        </w:rPr>
        <w:t> </w:t>
      </w:r>
      <w:r>
        <w:rPr/>
        <w:t>kesimpulannya</w:t>
      </w:r>
      <w:r>
        <w:rPr>
          <w:spacing w:val="-6"/>
        </w:rPr>
        <w:t> </w:t>
      </w:r>
      <w:r>
        <w:rPr>
          <w:spacing w:val="-2"/>
        </w:rPr>
        <w:t>yaitu:</w:t>
      </w:r>
    </w:p>
    <w:p>
      <w:pPr>
        <w:pStyle w:val="ListParagraph"/>
        <w:numPr>
          <w:ilvl w:val="0"/>
          <w:numId w:val="2"/>
        </w:numPr>
        <w:tabs>
          <w:tab w:pos="478" w:val="left" w:leader="none"/>
        </w:tabs>
        <w:spacing w:line="240" w:lineRule="auto" w:before="0" w:after="0"/>
        <w:ind w:left="478" w:right="0" w:hanging="359"/>
        <w:jc w:val="left"/>
        <w:rPr>
          <w:sz w:val="22"/>
        </w:rPr>
      </w:pPr>
      <w:r>
        <w:rPr>
          <w:sz w:val="22"/>
        </w:rPr>
        <w:t>PAD</w:t>
      </w:r>
      <w:r>
        <w:rPr>
          <w:spacing w:val="-8"/>
          <w:sz w:val="22"/>
        </w:rPr>
        <w:t> </w:t>
      </w:r>
      <w:r>
        <w:rPr>
          <w:sz w:val="22"/>
        </w:rPr>
        <w:t>berpengaruh</w:t>
      </w:r>
      <w:r>
        <w:rPr>
          <w:spacing w:val="-8"/>
          <w:sz w:val="22"/>
        </w:rPr>
        <w:t> </w:t>
      </w:r>
      <w:r>
        <w:rPr>
          <w:sz w:val="22"/>
        </w:rPr>
        <w:t>positif</w:t>
      </w:r>
      <w:r>
        <w:rPr>
          <w:spacing w:val="-6"/>
          <w:sz w:val="22"/>
        </w:rPr>
        <w:t> </w:t>
      </w:r>
      <w:r>
        <w:rPr>
          <w:sz w:val="22"/>
        </w:rPr>
        <w:t>signifikan</w:t>
      </w:r>
      <w:r>
        <w:rPr>
          <w:spacing w:val="-5"/>
          <w:sz w:val="22"/>
        </w:rPr>
        <w:t> </w:t>
      </w:r>
      <w:r>
        <w:rPr>
          <w:sz w:val="22"/>
        </w:rPr>
        <w:t>terhadap</w:t>
      </w:r>
      <w:r>
        <w:rPr>
          <w:spacing w:val="-7"/>
          <w:sz w:val="22"/>
        </w:rPr>
        <w:t> </w:t>
      </w:r>
      <w:r>
        <w:rPr>
          <w:sz w:val="22"/>
        </w:rPr>
        <w:t>kemandirian</w:t>
      </w:r>
      <w:r>
        <w:rPr>
          <w:spacing w:val="-8"/>
          <w:sz w:val="22"/>
        </w:rPr>
        <w:t> </w:t>
      </w:r>
      <w:r>
        <w:rPr>
          <w:sz w:val="22"/>
        </w:rPr>
        <w:t>keuangan</w:t>
      </w:r>
      <w:r>
        <w:rPr>
          <w:spacing w:val="-7"/>
          <w:sz w:val="22"/>
        </w:rPr>
        <w:t> </w:t>
      </w:r>
      <w:r>
        <w:rPr>
          <w:spacing w:val="-2"/>
          <w:sz w:val="22"/>
        </w:rPr>
        <w:t>daerah.</w:t>
      </w:r>
    </w:p>
    <w:p>
      <w:pPr>
        <w:pStyle w:val="ListParagraph"/>
        <w:numPr>
          <w:ilvl w:val="0"/>
          <w:numId w:val="2"/>
        </w:numPr>
        <w:tabs>
          <w:tab w:pos="478" w:val="left" w:leader="none"/>
        </w:tabs>
        <w:spacing w:line="240" w:lineRule="auto" w:before="1" w:after="0"/>
        <w:ind w:left="478" w:right="0" w:hanging="359"/>
        <w:jc w:val="left"/>
        <w:rPr>
          <w:sz w:val="22"/>
        </w:rPr>
      </w:pPr>
      <w:r>
        <w:rPr>
          <w:sz w:val="22"/>
        </w:rPr>
        <w:t>Belanja</w:t>
      </w:r>
      <w:r>
        <w:rPr>
          <w:spacing w:val="-8"/>
          <w:sz w:val="22"/>
        </w:rPr>
        <w:t> </w:t>
      </w:r>
      <w:r>
        <w:rPr>
          <w:sz w:val="22"/>
        </w:rPr>
        <w:t>Modal</w:t>
      </w:r>
      <w:r>
        <w:rPr>
          <w:spacing w:val="-5"/>
          <w:sz w:val="22"/>
        </w:rPr>
        <w:t> </w:t>
      </w:r>
      <w:r>
        <w:rPr>
          <w:sz w:val="22"/>
        </w:rPr>
        <w:t>berpengaruh</w:t>
      </w:r>
      <w:r>
        <w:rPr>
          <w:spacing w:val="-8"/>
          <w:sz w:val="22"/>
        </w:rPr>
        <w:t> </w:t>
      </w:r>
      <w:r>
        <w:rPr>
          <w:sz w:val="22"/>
        </w:rPr>
        <w:t>positif</w:t>
      </w:r>
      <w:r>
        <w:rPr>
          <w:spacing w:val="-7"/>
          <w:sz w:val="22"/>
        </w:rPr>
        <w:t> </w:t>
      </w:r>
      <w:r>
        <w:rPr>
          <w:sz w:val="22"/>
        </w:rPr>
        <w:t>signifikan</w:t>
      </w:r>
      <w:r>
        <w:rPr>
          <w:spacing w:val="-8"/>
          <w:sz w:val="22"/>
        </w:rPr>
        <w:t> </w:t>
      </w:r>
      <w:r>
        <w:rPr>
          <w:sz w:val="22"/>
        </w:rPr>
        <w:t>terhadap</w:t>
      </w:r>
      <w:r>
        <w:rPr>
          <w:spacing w:val="-8"/>
          <w:sz w:val="22"/>
        </w:rPr>
        <w:t> </w:t>
      </w:r>
      <w:r>
        <w:rPr>
          <w:sz w:val="22"/>
        </w:rPr>
        <w:t>kemandirian</w:t>
      </w:r>
      <w:r>
        <w:rPr>
          <w:spacing w:val="-8"/>
          <w:sz w:val="22"/>
        </w:rPr>
        <w:t> </w:t>
      </w:r>
      <w:r>
        <w:rPr>
          <w:sz w:val="22"/>
        </w:rPr>
        <w:t>keuangan</w:t>
      </w:r>
      <w:r>
        <w:rPr>
          <w:spacing w:val="-7"/>
          <w:sz w:val="22"/>
        </w:rPr>
        <w:t> </w:t>
      </w:r>
      <w:r>
        <w:rPr>
          <w:spacing w:val="-2"/>
          <w:sz w:val="22"/>
        </w:rPr>
        <w:t>daerah.</w:t>
      </w:r>
    </w:p>
    <w:p>
      <w:pPr>
        <w:pStyle w:val="ListParagraph"/>
        <w:numPr>
          <w:ilvl w:val="0"/>
          <w:numId w:val="2"/>
        </w:numPr>
        <w:tabs>
          <w:tab w:pos="478" w:val="left" w:leader="none"/>
        </w:tabs>
        <w:spacing w:line="240" w:lineRule="auto" w:before="0" w:after="0"/>
        <w:ind w:left="478" w:right="0" w:hanging="359"/>
        <w:jc w:val="left"/>
        <w:rPr>
          <w:b/>
          <w:sz w:val="22"/>
        </w:rPr>
      </w:pPr>
      <w:r>
        <w:rPr>
          <w:sz w:val="22"/>
        </w:rPr>
        <w:t>PAD</w:t>
      </w:r>
      <w:r>
        <w:rPr>
          <w:spacing w:val="-9"/>
          <w:sz w:val="22"/>
        </w:rPr>
        <w:t> </w:t>
      </w:r>
      <w:r>
        <w:rPr>
          <w:sz w:val="22"/>
        </w:rPr>
        <w:t>dan</w:t>
      </w:r>
      <w:r>
        <w:rPr>
          <w:spacing w:val="-7"/>
          <w:sz w:val="22"/>
        </w:rPr>
        <w:t> </w:t>
      </w:r>
      <w:r>
        <w:rPr>
          <w:sz w:val="22"/>
        </w:rPr>
        <w:t>Belanja</w:t>
      </w:r>
      <w:r>
        <w:rPr>
          <w:spacing w:val="-6"/>
          <w:sz w:val="22"/>
        </w:rPr>
        <w:t> </w:t>
      </w:r>
      <w:r>
        <w:rPr>
          <w:sz w:val="22"/>
        </w:rPr>
        <w:t>Modal</w:t>
      </w:r>
      <w:r>
        <w:rPr>
          <w:spacing w:val="-5"/>
          <w:sz w:val="22"/>
        </w:rPr>
        <w:t> </w:t>
      </w:r>
      <w:r>
        <w:rPr>
          <w:sz w:val="22"/>
        </w:rPr>
        <w:t>berpengaruh</w:t>
      </w:r>
      <w:r>
        <w:rPr>
          <w:spacing w:val="-7"/>
          <w:sz w:val="22"/>
        </w:rPr>
        <w:t> </w:t>
      </w:r>
      <w:r>
        <w:rPr>
          <w:sz w:val="22"/>
        </w:rPr>
        <w:t>signifikan</w:t>
      </w:r>
      <w:r>
        <w:rPr>
          <w:spacing w:val="-8"/>
          <w:sz w:val="22"/>
        </w:rPr>
        <w:t> </w:t>
      </w:r>
      <w:r>
        <w:rPr>
          <w:sz w:val="22"/>
        </w:rPr>
        <w:t>terhadap</w:t>
      </w:r>
      <w:r>
        <w:rPr>
          <w:spacing w:val="-7"/>
          <w:sz w:val="22"/>
        </w:rPr>
        <w:t> </w:t>
      </w:r>
      <w:r>
        <w:rPr>
          <w:sz w:val="22"/>
        </w:rPr>
        <w:t>kemandirian</w:t>
      </w:r>
      <w:r>
        <w:rPr>
          <w:spacing w:val="-7"/>
          <w:sz w:val="22"/>
        </w:rPr>
        <w:t> </w:t>
      </w:r>
      <w:r>
        <w:rPr>
          <w:sz w:val="22"/>
        </w:rPr>
        <w:t>keuangan</w:t>
      </w:r>
      <w:r>
        <w:rPr>
          <w:spacing w:val="-7"/>
          <w:sz w:val="22"/>
        </w:rPr>
        <w:t> </w:t>
      </w:r>
      <w:r>
        <w:rPr>
          <w:spacing w:val="-2"/>
          <w:sz w:val="22"/>
        </w:rPr>
        <w:t>daerah</w:t>
      </w:r>
      <w:r>
        <w:rPr>
          <w:b/>
          <w:spacing w:val="-2"/>
          <w:sz w:val="22"/>
        </w:rPr>
        <w:t>.</w:t>
      </w:r>
    </w:p>
    <w:p>
      <w:pPr>
        <w:pStyle w:val="BodyText"/>
        <w:rPr>
          <w:b/>
        </w:rPr>
      </w:pPr>
    </w:p>
    <w:p>
      <w:pPr>
        <w:pStyle w:val="Heading1"/>
      </w:pPr>
      <w:bookmarkStart w:name="SARAN" w:id="6"/>
      <w:bookmarkEnd w:id="6"/>
      <w:r>
        <w:rPr>
          <w:b w:val="0"/>
        </w:rPr>
      </w:r>
      <w:r>
        <w:rPr>
          <w:spacing w:val="-2"/>
        </w:rPr>
        <w:t>SARAN</w:t>
      </w:r>
    </w:p>
    <w:p>
      <w:pPr>
        <w:pStyle w:val="BodyText"/>
        <w:spacing w:before="1"/>
        <w:ind w:left="830"/>
      </w:pPr>
      <w:r>
        <w:rPr/>
        <w:t>Didasarkan</w:t>
      </w:r>
      <w:r>
        <w:rPr>
          <w:spacing w:val="-9"/>
        </w:rPr>
        <w:t> </w:t>
      </w:r>
      <w:r>
        <w:rPr/>
        <w:t>simpulan</w:t>
      </w:r>
      <w:r>
        <w:rPr>
          <w:spacing w:val="-6"/>
        </w:rPr>
        <w:t> </w:t>
      </w:r>
      <w:r>
        <w:rPr/>
        <w:t>di</w:t>
      </w:r>
      <w:r>
        <w:rPr>
          <w:spacing w:val="-3"/>
        </w:rPr>
        <w:t> </w:t>
      </w:r>
      <w:r>
        <w:rPr/>
        <w:t>atas,</w:t>
      </w:r>
      <w:r>
        <w:rPr>
          <w:spacing w:val="-7"/>
        </w:rPr>
        <w:t> </w:t>
      </w:r>
      <w:r>
        <w:rPr/>
        <w:t>maka</w:t>
      </w:r>
      <w:r>
        <w:rPr>
          <w:spacing w:val="-5"/>
        </w:rPr>
        <w:t> </w:t>
      </w:r>
      <w:r>
        <w:rPr/>
        <w:t>beberapa</w:t>
      </w:r>
      <w:r>
        <w:rPr>
          <w:spacing w:val="-5"/>
        </w:rPr>
        <w:t> </w:t>
      </w:r>
      <w:r>
        <w:rPr/>
        <w:t>saran</w:t>
      </w:r>
      <w:r>
        <w:rPr>
          <w:spacing w:val="-7"/>
        </w:rPr>
        <w:t> </w:t>
      </w:r>
      <w:r>
        <w:rPr/>
        <w:t>dari</w:t>
      </w:r>
      <w:r>
        <w:rPr>
          <w:spacing w:val="-3"/>
        </w:rPr>
        <w:t> </w:t>
      </w:r>
      <w:r>
        <w:rPr/>
        <w:t>peneliti</w:t>
      </w:r>
      <w:r>
        <w:rPr>
          <w:spacing w:val="-2"/>
        </w:rPr>
        <w:t> diantaranya:</w:t>
      </w:r>
    </w:p>
    <w:p>
      <w:pPr>
        <w:pStyle w:val="ListParagraph"/>
        <w:numPr>
          <w:ilvl w:val="0"/>
          <w:numId w:val="3"/>
        </w:numPr>
        <w:tabs>
          <w:tab w:pos="478" w:val="left" w:leader="none"/>
          <w:tab w:pos="480" w:val="left" w:leader="none"/>
        </w:tabs>
        <w:spacing w:line="240" w:lineRule="auto" w:before="1" w:after="0"/>
        <w:ind w:left="480" w:right="118" w:hanging="361"/>
        <w:jc w:val="both"/>
        <w:rPr>
          <w:sz w:val="22"/>
        </w:rPr>
      </w:pPr>
      <w:r>
        <w:rPr>
          <w:sz w:val="22"/>
        </w:rPr>
        <w:t>Pemerintah</w:t>
      </w:r>
      <w:r>
        <w:rPr>
          <w:spacing w:val="-3"/>
          <w:sz w:val="22"/>
        </w:rPr>
        <w:t> </w:t>
      </w:r>
      <w:r>
        <w:rPr>
          <w:sz w:val="22"/>
        </w:rPr>
        <w:t>daerah</w:t>
      </w:r>
      <w:r>
        <w:rPr>
          <w:spacing w:val="-3"/>
          <w:sz w:val="22"/>
        </w:rPr>
        <w:t> </w:t>
      </w:r>
      <w:r>
        <w:rPr>
          <w:sz w:val="22"/>
        </w:rPr>
        <w:t>di Jawa</w:t>
      </w:r>
      <w:r>
        <w:rPr>
          <w:spacing w:val="-2"/>
          <w:sz w:val="22"/>
        </w:rPr>
        <w:t> </w:t>
      </w:r>
      <w:r>
        <w:rPr>
          <w:sz w:val="22"/>
        </w:rPr>
        <w:t>Barat harus mampu</w:t>
      </w:r>
      <w:r>
        <w:rPr>
          <w:spacing w:val="-3"/>
          <w:sz w:val="22"/>
        </w:rPr>
        <w:t> </w:t>
      </w:r>
      <w:r>
        <w:rPr>
          <w:sz w:val="22"/>
        </w:rPr>
        <w:t>meningkatkan</w:t>
      </w:r>
      <w:r>
        <w:rPr>
          <w:spacing w:val="-3"/>
          <w:sz w:val="22"/>
        </w:rPr>
        <w:t> </w:t>
      </w:r>
      <w:r>
        <w:rPr>
          <w:sz w:val="22"/>
        </w:rPr>
        <w:t>kemandirian</w:t>
      </w:r>
      <w:r>
        <w:rPr>
          <w:spacing w:val="-3"/>
          <w:sz w:val="22"/>
        </w:rPr>
        <w:t> </w:t>
      </w:r>
      <w:r>
        <w:rPr>
          <w:sz w:val="22"/>
        </w:rPr>
        <w:t>daerah</w:t>
      </w:r>
      <w:r>
        <w:rPr>
          <w:spacing w:val="-3"/>
          <w:sz w:val="22"/>
        </w:rPr>
        <w:t> </w:t>
      </w:r>
      <w:r>
        <w:rPr>
          <w:sz w:val="22"/>
        </w:rPr>
        <w:t>melalui upaya</w:t>
      </w:r>
      <w:r>
        <w:rPr>
          <w:spacing w:val="-13"/>
          <w:sz w:val="22"/>
        </w:rPr>
        <w:t> </w:t>
      </w:r>
      <w:r>
        <w:rPr>
          <w:sz w:val="22"/>
        </w:rPr>
        <w:t>penggalian</w:t>
      </w:r>
      <w:r>
        <w:rPr>
          <w:spacing w:val="-12"/>
          <w:sz w:val="22"/>
        </w:rPr>
        <w:t> </w:t>
      </w:r>
      <w:r>
        <w:rPr>
          <w:sz w:val="22"/>
        </w:rPr>
        <w:t>potensi</w:t>
      </w:r>
      <w:r>
        <w:rPr>
          <w:spacing w:val="-10"/>
          <w:sz w:val="22"/>
        </w:rPr>
        <w:t> </w:t>
      </w:r>
      <w:r>
        <w:rPr>
          <w:sz w:val="22"/>
        </w:rPr>
        <w:t>sumber</w:t>
      </w:r>
      <w:r>
        <w:rPr>
          <w:spacing w:val="-12"/>
          <w:sz w:val="22"/>
        </w:rPr>
        <w:t> </w:t>
      </w:r>
      <w:r>
        <w:rPr>
          <w:sz w:val="22"/>
        </w:rPr>
        <w:t>daya</w:t>
      </w:r>
      <w:r>
        <w:rPr>
          <w:spacing w:val="-11"/>
          <w:sz w:val="22"/>
        </w:rPr>
        <w:t> </w:t>
      </w:r>
      <w:r>
        <w:rPr>
          <w:sz w:val="22"/>
        </w:rPr>
        <w:t>setiap</w:t>
      </w:r>
      <w:r>
        <w:rPr>
          <w:spacing w:val="-13"/>
          <w:sz w:val="22"/>
        </w:rPr>
        <w:t> </w:t>
      </w:r>
      <w:r>
        <w:rPr>
          <w:sz w:val="22"/>
        </w:rPr>
        <w:t>daerah</w:t>
      </w:r>
      <w:r>
        <w:rPr>
          <w:spacing w:val="-12"/>
          <w:sz w:val="22"/>
        </w:rPr>
        <w:t> </w:t>
      </w:r>
      <w:r>
        <w:rPr>
          <w:sz w:val="22"/>
        </w:rPr>
        <w:t>agar</w:t>
      </w:r>
      <w:r>
        <w:rPr>
          <w:spacing w:val="-11"/>
          <w:sz w:val="22"/>
        </w:rPr>
        <w:t> </w:t>
      </w:r>
      <w:r>
        <w:rPr>
          <w:sz w:val="22"/>
        </w:rPr>
        <w:t>PAD</w:t>
      </w:r>
      <w:r>
        <w:rPr>
          <w:spacing w:val="-13"/>
          <w:sz w:val="22"/>
        </w:rPr>
        <w:t> </w:t>
      </w:r>
      <w:r>
        <w:rPr>
          <w:sz w:val="22"/>
        </w:rPr>
        <w:t>dapat</w:t>
      </w:r>
      <w:r>
        <w:rPr>
          <w:spacing w:val="-12"/>
          <w:sz w:val="22"/>
        </w:rPr>
        <w:t> </w:t>
      </w:r>
      <w:r>
        <w:rPr>
          <w:sz w:val="22"/>
        </w:rPr>
        <w:t>ditingkatkan,</w:t>
      </w:r>
      <w:r>
        <w:rPr>
          <w:spacing w:val="-13"/>
          <w:sz w:val="22"/>
        </w:rPr>
        <w:t> </w:t>
      </w:r>
      <w:r>
        <w:rPr>
          <w:sz w:val="22"/>
        </w:rPr>
        <w:t>misalnya dengan intensifikasi data perpajakan yang dapat meningkatkan ketepatan target penerimaan pajal daerah yang akan meningkatkan penerimaan daerah.</w:t>
      </w:r>
    </w:p>
    <w:p>
      <w:pPr>
        <w:spacing w:after="0" w:line="240" w:lineRule="auto"/>
        <w:jc w:val="both"/>
        <w:rPr>
          <w:sz w:val="22"/>
        </w:rPr>
        <w:sectPr>
          <w:pgSz w:w="11910" w:h="16840"/>
          <w:pgMar w:header="891" w:footer="1118" w:top="1640" w:bottom="1300" w:left="1580" w:right="1580"/>
        </w:sectPr>
      </w:pPr>
    </w:p>
    <w:p>
      <w:pPr>
        <w:pStyle w:val="ListParagraph"/>
        <w:numPr>
          <w:ilvl w:val="0"/>
          <w:numId w:val="3"/>
        </w:numPr>
        <w:tabs>
          <w:tab w:pos="478" w:val="left" w:leader="none"/>
          <w:tab w:pos="480" w:val="left" w:leader="none"/>
        </w:tabs>
        <w:spacing w:line="240" w:lineRule="auto" w:before="46" w:after="0"/>
        <w:ind w:left="480" w:right="110" w:hanging="361"/>
        <w:jc w:val="both"/>
        <w:rPr>
          <w:sz w:val="22"/>
        </w:rPr>
      </w:pPr>
      <w:r>
        <w:rPr>
          <w:sz w:val="22"/>
        </w:rPr>
        <w:t>Pemerintah</w:t>
      </w:r>
      <w:r>
        <w:rPr>
          <w:spacing w:val="-13"/>
          <w:sz w:val="22"/>
        </w:rPr>
        <w:t> </w:t>
      </w:r>
      <w:r>
        <w:rPr>
          <w:sz w:val="22"/>
        </w:rPr>
        <w:t>sebaiknya</w:t>
      </w:r>
      <w:r>
        <w:rPr>
          <w:spacing w:val="-12"/>
          <w:sz w:val="22"/>
        </w:rPr>
        <w:t> </w:t>
      </w:r>
      <w:r>
        <w:rPr>
          <w:sz w:val="22"/>
        </w:rPr>
        <w:t>mengalokasikan</w:t>
      </w:r>
      <w:r>
        <w:rPr>
          <w:spacing w:val="-13"/>
          <w:sz w:val="22"/>
        </w:rPr>
        <w:t> </w:t>
      </w:r>
      <w:r>
        <w:rPr>
          <w:sz w:val="22"/>
        </w:rPr>
        <w:t>pengeluaran</w:t>
      </w:r>
      <w:r>
        <w:rPr>
          <w:spacing w:val="-12"/>
          <w:sz w:val="22"/>
        </w:rPr>
        <w:t> </w:t>
      </w:r>
      <w:r>
        <w:rPr>
          <w:b/>
          <w:sz w:val="22"/>
        </w:rPr>
        <w:t>untuk</w:t>
      </w:r>
      <w:r>
        <w:rPr>
          <w:b/>
          <w:spacing w:val="-13"/>
          <w:sz w:val="22"/>
        </w:rPr>
        <w:t> </w:t>
      </w:r>
      <w:r>
        <w:rPr>
          <w:b/>
          <w:sz w:val="22"/>
        </w:rPr>
        <w:t>kepentingan</w:t>
      </w:r>
      <w:r>
        <w:rPr>
          <w:b/>
          <w:spacing w:val="-12"/>
          <w:sz w:val="22"/>
        </w:rPr>
        <w:t> </w:t>
      </w:r>
      <w:r>
        <w:rPr>
          <w:sz w:val="22"/>
        </w:rPr>
        <w:t>masyarakat</w:t>
      </w:r>
      <w:r>
        <w:rPr>
          <w:spacing w:val="-13"/>
          <w:sz w:val="22"/>
        </w:rPr>
        <w:t> </w:t>
      </w:r>
      <w:r>
        <w:rPr>
          <w:sz w:val="22"/>
        </w:rPr>
        <w:t>melalui belanja modal. Belanja modal dapat menjadi salah satu saran bagi peningkatana pendapatan daerah. Tingginya alokasi infrastruktur dan perbaikan sarana prasarana akan memberikan kemudahan pada Masyarakat dalam melakukan kegiatan prekonomiannya, mempermudah investor masuk ke daerah sehingga dapat meningkatkan pendapatan asli </w:t>
      </w:r>
      <w:r>
        <w:rPr>
          <w:spacing w:val="-2"/>
          <w:sz w:val="22"/>
        </w:rPr>
        <w:t>daerah.</w:t>
      </w:r>
    </w:p>
    <w:p>
      <w:pPr>
        <w:pStyle w:val="ListParagraph"/>
        <w:numPr>
          <w:ilvl w:val="0"/>
          <w:numId w:val="3"/>
        </w:numPr>
        <w:tabs>
          <w:tab w:pos="478" w:val="left" w:leader="none"/>
          <w:tab w:pos="480" w:val="left" w:leader="none"/>
        </w:tabs>
        <w:spacing w:line="240" w:lineRule="auto" w:before="2" w:after="0"/>
        <w:ind w:left="480" w:right="118" w:hanging="361"/>
        <w:jc w:val="both"/>
        <w:rPr>
          <w:sz w:val="22"/>
        </w:rPr>
      </w:pPr>
      <w:r>
        <w:rPr>
          <w:sz w:val="22"/>
        </w:rPr>
        <w:t>Keterbatasan penelitian ini adalah peneliti hanya meneliti daerah-darah di Jawa Barat,</w:t>
      </w:r>
      <w:r>
        <w:rPr>
          <w:spacing w:val="-1"/>
          <w:sz w:val="22"/>
        </w:rPr>
        <w:t> </w:t>
      </w:r>
      <w:r>
        <w:rPr>
          <w:sz w:val="22"/>
        </w:rPr>
        <w:t>dan hanya</w:t>
      </w:r>
      <w:r>
        <w:rPr>
          <w:spacing w:val="-13"/>
          <w:sz w:val="22"/>
        </w:rPr>
        <w:t> </w:t>
      </w:r>
      <w:r>
        <w:rPr>
          <w:sz w:val="22"/>
        </w:rPr>
        <w:t>ada</w:t>
      </w:r>
      <w:r>
        <w:rPr>
          <w:spacing w:val="-12"/>
          <w:sz w:val="22"/>
        </w:rPr>
        <w:t> </w:t>
      </w:r>
      <w:r>
        <w:rPr>
          <w:sz w:val="22"/>
        </w:rPr>
        <w:t>dua</w:t>
      </w:r>
      <w:r>
        <w:rPr>
          <w:spacing w:val="-13"/>
          <w:sz w:val="22"/>
        </w:rPr>
        <w:t> </w:t>
      </w:r>
      <w:r>
        <w:rPr>
          <w:sz w:val="22"/>
        </w:rPr>
        <w:t>variabel</w:t>
      </w:r>
      <w:r>
        <w:rPr>
          <w:spacing w:val="-12"/>
          <w:sz w:val="22"/>
        </w:rPr>
        <w:t> </w:t>
      </w:r>
      <w:r>
        <w:rPr>
          <w:sz w:val="22"/>
        </w:rPr>
        <w:t>independen,</w:t>
      </w:r>
      <w:r>
        <w:rPr>
          <w:spacing w:val="-13"/>
          <w:sz w:val="22"/>
        </w:rPr>
        <w:t> </w:t>
      </w:r>
      <w:r>
        <w:rPr>
          <w:sz w:val="22"/>
        </w:rPr>
        <w:t>serta</w:t>
      </w:r>
      <w:r>
        <w:rPr>
          <w:spacing w:val="-12"/>
          <w:sz w:val="22"/>
        </w:rPr>
        <w:t> </w:t>
      </w:r>
      <w:r>
        <w:rPr>
          <w:sz w:val="22"/>
        </w:rPr>
        <w:t>tahun</w:t>
      </w:r>
      <w:r>
        <w:rPr>
          <w:spacing w:val="-13"/>
          <w:sz w:val="22"/>
        </w:rPr>
        <w:t> </w:t>
      </w:r>
      <w:r>
        <w:rPr>
          <w:sz w:val="22"/>
        </w:rPr>
        <w:t>penelitian</w:t>
      </w:r>
      <w:r>
        <w:rPr>
          <w:spacing w:val="-12"/>
          <w:sz w:val="22"/>
        </w:rPr>
        <w:t> </w:t>
      </w:r>
      <w:r>
        <w:rPr>
          <w:sz w:val="22"/>
        </w:rPr>
        <w:t>yang</w:t>
      </w:r>
      <w:r>
        <w:rPr>
          <w:spacing w:val="-12"/>
          <w:sz w:val="22"/>
        </w:rPr>
        <w:t> </w:t>
      </w:r>
      <w:r>
        <w:rPr>
          <w:sz w:val="22"/>
        </w:rPr>
        <w:t>digunakan</w:t>
      </w:r>
      <w:r>
        <w:rPr>
          <w:spacing w:val="-13"/>
          <w:sz w:val="22"/>
        </w:rPr>
        <w:t> </w:t>
      </w:r>
      <w:r>
        <w:rPr>
          <w:sz w:val="22"/>
        </w:rPr>
        <w:t>hanya</w:t>
      </w:r>
      <w:r>
        <w:rPr>
          <w:spacing w:val="-12"/>
          <w:sz w:val="22"/>
        </w:rPr>
        <w:t> </w:t>
      </w:r>
      <w:r>
        <w:rPr>
          <w:sz w:val="22"/>
        </w:rPr>
        <w:t>tiga</w:t>
      </w:r>
      <w:r>
        <w:rPr>
          <w:spacing w:val="-13"/>
          <w:sz w:val="22"/>
        </w:rPr>
        <w:t> </w:t>
      </w:r>
      <w:r>
        <w:rPr>
          <w:sz w:val="22"/>
        </w:rPr>
        <w:t>tahun penelitian. Bagi peneliti selanjutnya sebaiknya:</w:t>
      </w:r>
    </w:p>
    <w:p>
      <w:pPr>
        <w:pStyle w:val="ListParagraph"/>
        <w:numPr>
          <w:ilvl w:val="1"/>
          <w:numId w:val="3"/>
        </w:numPr>
        <w:tabs>
          <w:tab w:pos="828" w:val="left" w:leader="none"/>
          <w:tab w:pos="830" w:val="left" w:leader="none"/>
        </w:tabs>
        <w:spacing w:line="240" w:lineRule="auto" w:before="1" w:after="0"/>
        <w:ind w:left="830" w:right="120" w:hanging="360"/>
        <w:jc w:val="both"/>
        <w:rPr>
          <w:sz w:val="22"/>
        </w:rPr>
      </w:pPr>
      <w:r>
        <w:rPr>
          <w:sz w:val="22"/>
        </w:rPr>
        <w:t>menambah variable lain yang dapat</w:t>
      </w:r>
      <w:r>
        <w:rPr>
          <w:spacing w:val="40"/>
          <w:sz w:val="22"/>
        </w:rPr>
        <w:t> </w:t>
      </w:r>
      <w:r>
        <w:rPr>
          <w:sz w:val="22"/>
        </w:rPr>
        <w:t>mempengaruhi tingkat kemandirian keuangan, diantaranya: ekstensifikasi PAD. Investasi dll</w:t>
      </w:r>
    </w:p>
    <w:p>
      <w:pPr>
        <w:pStyle w:val="ListParagraph"/>
        <w:numPr>
          <w:ilvl w:val="1"/>
          <w:numId w:val="3"/>
        </w:numPr>
        <w:tabs>
          <w:tab w:pos="829" w:val="left" w:leader="none"/>
        </w:tabs>
        <w:spacing w:line="240" w:lineRule="auto" w:before="1" w:after="0"/>
        <w:ind w:left="829" w:right="0" w:hanging="359"/>
        <w:jc w:val="both"/>
        <w:rPr>
          <w:sz w:val="22"/>
        </w:rPr>
      </w:pPr>
      <w:r>
        <w:rPr>
          <w:sz w:val="22"/>
        </w:rPr>
        <w:t>memperlias</w:t>
      </w:r>
      <w:r>
        <w:rPr>
          <w:spacing w:val="-9"/>
          <w:sz w:val="22"/>
        </w:rPr>
        <w:t> </w:t>
      </w:r>
      <w:r>
        <w:rPr>
          <w:sz w:val="22"/>
        </w:rPr>
        <w:t>pupolasi</w:t>
      </w:r>
      <w:r>
        <w:rPr>
          <w:spacing w:val="-5"/>
          <w:sz w:val="22"/>
        </w:rPr>
        <w:t> </w:t>
      </w:r>
      <w:r>
        <w:rPr>
          <w:sz w:val="22"/>
        </w:rPr>
        <w:t>sehingga</w:t>
      </w:r>
      <w:r>
        <w:rPr>
          <w:spacing w:val="-7"/>
          <w:sz w:val="22"/>
        </w:rPr>
        <w:t> </w:t>
      </w:r>
      <w:r>
        <w:rPr>
          <w:sz w:val="22"/>
        </w:rPr>
        <w:t>hasil</w:t>
      </w:r>
      <w:r>
        <w:rPr>
          <w:spacing w:val="-5"/>
          <w:sz w:val="22"/>
        </w:rPr>
        <w:t> </w:t>
      </w:r>
      <w:r>
        <w:rPr>
          <w:sz w:val="22"/>
        </w:rPr>
        <w:t>yang</w:t>
      </w:r>
      <w:r>
        <w:rPr>
          <w:spacing w:val="-5"/>
          <w:sz w:val="22"/>
        </w:rPr>
        <w:t> </w:t>
      </w:r>
      <w:r>
        <w:rPr>
          <w:sz w:val="22"/>
        </w:rPr>
        <w:t>diperoleh</w:t>
      </w:r>
      <w:r>
        <w:rPr>
          <w:spacing w:val="-8"/>
          <w:sz w:val="22"/>
        </w:rPr>
        <w:t> </w:t>
      </w:r>
      <w:r>
        <w:rPr>
          <w:sz w:val="22"/>
        </w:rPr>
        <w:t>bisa</w:t>
      </w:r>
      <w:r>
        <w:rPr>
          <w:spacing w:val="-6"/>
          <w:sz w:val="22"/>
        </w:rPr>
        <w:t> </w:t>
      </w:r>
      <w:r>
        <w:rPr>
          <w:spacing w:val="-2"/>
          <w:sz w:val="22"/>
        </w:rPr>
        <w:t>digeneralisasikan</w:t>
      </w:r>
    </w:p>
    <w:p>
      <w:pPr>
        <w:pStyle w:val="ListParagraph"/>
        <w:numPr>
          <w:ilvl w:val="1"/>
          <w:numId w:val="3"/>
        </w:numPr>
        <w:tabs>
          <w:tab w:pos="830" w:val="left" w:leader="none"/>
        </w:tabs>
        <w:spacing w:line="240" w:lineRule="auto" w:before="0" w:after="0"/>
        <w:ind w:left="830" w:right="119" w:hanging="360"/>
        <w:jc w:val="both"/>
        <w:rPr>
          <w:rFonts w:ascii="Times New Roman"/>
          <w:sz w:val="24"/>
        </w:rPr>
      </w:pPr>
      <w:r>
        <w:rPr>
          <w:sz w:val="22"/>
        </w:rPr>
        <w:t>memperhatikan periode waktu penelitian mengingat variabel dalam penelitian ini memiliki time lag/rentang waktu</w:t>
      </w:r>
    </w:p>
    <w:p>
      <w:pPr>
        <w:pStyle w:val="BodyText"/>
      </w:pPr>
    </w:p>
    <w:p>
      <w:pPr>
        <w:pStyle w:val="BodyText"/>
      </w:pPr>
    </w:p>
    <w:p>
      <w:pPr>
        <w:pStyle w:val="BodyText"/>
        <w:spacing w:before="136"/>
      </w:pPr>
    </w:p>
    <w:p>
      <w:pPr>
        <w:pStyle w:val="Heading1"/>
      </w:pPr>
      <w:bookmarkStart w:name="DAFTAR PUSTAKA" w:id="7"/>
      <w:bookmarkEnd w:id="7"/>
      <w:r>
        <w:rPr>
          <w:b w:val="0"/>
        </w:rPr>
      </w:r>
      <w:r>
        <w:rPr/>
        <w:t>DAFTAR</w:t>
      </w:r>
      <w:r>
        <w:rPr>
          <w:spacing w:val="-2"/>
        </w:rPr>
        <w:t> PUSTAKA</w:t>
      </w:r>
    </w:p>
    <w:p>
      <w:pPr>
        <w:pStyle w:val="BodyText"/>
        <w:spacing w:before="230"/>
        <w:ind w:left="600" w:right="114" w:hanging="481"/>
        <w:jc w:val="both"/>
      </w:pPr>
      <w:r>
        <w:rPr/>
        <w:t>Dina Apriana, R. S. (2023). Analisis Hubungan Antara Belanja Modal, Pendapatan Asli Daerah, Kemandirian Daerah Dan Pertumbuhan Ekonomi Daerah. </w:t>
      </w:r>
      <w:r>
        <w:rPr>
          <w:i/>
        </w:rPr>
        <w:t>Journal Accounting and Invesment</w:t>
      </w:r>
      <w:r>
        <w:rPr/>
        <w:t>, </w:t>
      </w:r>
      <w:r>
        <w:rPr>
          <w:i/>
        </w:rPr>
        <w:t>11</w:t>
      </w:r>
      <w:r>
        <w:rPr/>
        <w:t>(1).</w:t>
      </w:r>
    </w:p>
    <w:p>
      <w:pPr>
        <w:pStyle w:val="BodyText"/>
        <w:ind w:left="600" w:right="114" w:hanging="481"/>
        <w:jc w:val="both"/>
      </w:pPr>
      <w:r>
        <w:rPr/>
        <w:t>Rahayu, H. A., &amp; Halim, A. (2016). Evaluasi Pengelolaan Pajak Bumi Dan Bangunan Perdesaan Dan Perkotaan: Studi pada Pemerintah Kota Yogyakarta. </w:t>
      </w:r>
      <w:r>
        <w:rPr>
          <w:i/>
        </w:rPr>
        <w:t>Jurnal Riset Manajemen</w:t>
      </w:r>
      <w:r>
        <w:rPr/>
        <w:t>, </w:t>
      </w:r>
      <w:r>
        <w:rPr>
          <w:i/>
        </w:rPr>
        <w:t>03</w:t>
      </w:r>
      <w:r>
        <w:rPr/>
        <w:t>(1).</w:t>
      </w:r>
    </w:p>
    <w:p>
      <w:pPr>
        <w:pStyle w:val="BodyText"/>
        <w:ind w:left="600" w:right="124" w:hanging="481"/>
        <w:jc w:val="both"/>
      </w:pPr>
      <w:r>
        <w:rPr/>
        <w:t>Sintia,</w:t>
      </w:r>
      <w:r>
        <w:rPr>
          <w:spacing w:val="-13"/>
        </w:rPr>
        <w:t> </w:t>
      </w:r>
      <w:r>
        <w:rPr/>
        <w:t>L.</w:t>
      </w:r>
      <w:r>
        <w:rPr>
          <w:spacing w:val="-12"/>
        </w:rPr>
        <w:t> </w:t>
      </w:r>
      <w:r>
        <w:rPr/>
        <w:t>(2019).</w:t>
      </w:r>
      <w:r>
        <w:rPr>
          <w:spacing w:val="-13"/>
        </w:rPr>
        <w:t> </w:t>
      </w:r>
      <w:r>
        <w:rPr/>
        <w:t>Pengaruh</w:t>
      </w:r>
      <w:r>
        <w:rPr>
          <w:spacing w:val="-12"/>
        </w:rPr>
        <w:t> </w:t>
      </w:r>
      <w:r>
        <w:rPr/>
        <w:t>Pajak</w:t>
      </w:r>
      <w:r>
        <w:rPr>
          <w:spacing w:val="-13"/>
        </w:rPr>
        <w:t> </w:t>
      </w:r>
      <w:r>
        <w:rPr/>
        <w:t>Daerah</w:t>
      </w:r>
      <w:r>
        <w:rPr>
          <w:spacing w:val="-11"/>
        </w:rPr>
        <w:t> </w:t>
      </w:r>
      <w:r>
        <w:rPr/>
        <w:t>Dan</w:t>
      </w:r>
      <w:r>
        <w:rPr>
          <w:spacing w:val="-12"/>
        </w:rPr>
        <w:t> </w:t>
      </w:r>
      <w:r>
        <w:rPr/>
        <w:t>Retribusi</w:t>
      </w:r>
      <w:r>
        <w:rPr>
          <w:spacing w:val="-6"/>
        </w:rPr>
        <w:t> </w:t>
      </w:r>
      <w:r>
        <w:rPr/>
        <w:t>Daerah</w:t>
      </w:r>
      <w:r>
        <w:rPr>
          <w:spacing w:val="-13"/>
        </w:rPr>
        <w:t> </w:t>
      </w:r>
      <w:r>
        <w:rPr/>
        <w:t>Terhadap</w:t>
      </w:r>
      <w:r>
        <w:rPr>
          <w:spacing w:val="-8"/>
        </w:rPr>
        <w:t> </w:t>
      </w:r>
      <w:r>
        <w:rPr/>
        <w:t>Pendapatan</w:t>
      </w:r>
      <w:r>
        <w:rPr>
          <w:spacing w:val="-13"/>
        </w:rPr>
        <w:t> </w:t>
      </w:r>
      <w:r>
        <w:rPr/>
        <w:t>Asli</w:t>
      </w:r>
      <w:r>
        <w:rPr>
          <w:spacing w:val="-10"/>
        </w:rPr>
        <w:t> </w:t>
      </w:r>
      <w:r>
        <w:rPr/>
        <w:t>Daerah (Studi kasus pada Pemerintah Kabupaten/Kota di Jawa Timur). </w:t>
      </w:r>
      <w:r>
        <w:rPr>
          <w:i/>
        </w:rPr>
        <w:t>STIESIA Journal</w:t>
      </w:r>
      <w:r>
        <w:rPr/>
        <w:t>.</w:t>
      </w:r>
    </w:p>
    <w:p>
      <w:pPr>
        <w:spacing w:before="0"/>
        <w:ind w:left="600" w:right="117" w:hanging="481"/>
        <w:jc w:val="both"/>
        <w:rPr>
          <w:sz w:val="22"/>
        </w:rPr>
      </w:pPr>
      <w:r>
        <w:rPr>
          <w:sz w:val="22"/>
        </w:rPr>
        <w:t>Siti Khadijah Mtd,</w:t>
      </w:r>
      <w:r>
        <w:rPr>
          <w:spacing w:val="-1"/>
          <w:sz w:val="22"/>
        </w:rPr>
        <w:t> </w:t>
      </w:r>
      <w:r>
        <w:rPr>
          <w:sz w:val="22"/>
        </w:rPr>
        <w:t>Maryam Batubara,</w:t>
      </w:r>
      <w:r>
        <w:rPr>
          <w:spacing w:val="-2"/>
          <w:sz w:val="22"/>
        </w:rPr>
        <w:t> </w:t>
      </w:r>
      <w:r>
        <w:rPr>
          <w:sz w:val="22"/>
        </w:rPr>
        <w:t>N. A. B. R. (2022). The Effect of Regional Original Income, Balanced Funds and Capital Expenditures on the Government’s Financial Performance in The Regency/City of</w:t>
      </w:r>
      <w:r>
        <w:rPr>
          <w:spacing w:val="-1"/>
          <w:sz w:val="22"/>
        </w:rPr>
        <w:t> </w:t>
      </w:r>
      <w:r>
        <w:rPr>
          <w:sz w:val="22"/>
        </w:rPr>
        <w:t>North</w:t>
      </w:r>
      <w:r>
        <w:rPr>
          <w:spacing w:val="-1"/>
          <w:sz w:val="22"/>
        </w:rPr>
        <w:t> </w:t>
      </w:r>
      <w:r>
        <w:rPr>
          <w:sz w:val="22"/>
        </w:rPr>
        <w:t>Sumatra</w:t>
      </w:r>
      <w:r>
        <w:rPr>
          <w:spacing w:val="-1"/>
          <w:sz w:val="22"/>
        </w:rPr>
        <w:t> </w:t>
      </w:r>
      <w:r>
        <w:rPr>
          <w:sz w:val="22"/>
        </w:rPr>
        <w:t>Province. </w:t>
      </w:r>
      <w:r>
        <w:rPr>
          <w:i/>
          <w:sz w:val="22"/>
        </w:rPr>
        <w:t>Budapest</w:t>
      </w:r>
      <w:r>
        <w:rPr>
          <w:i/>
          <w:spacing w:val="-3"/>
          <w:sz w:val="22"/>
        </w:rPr>
        <w:t> </w:t>
      </w:r>
      <w:r>
        <w:rPr>
          <w:i/>
          <w:sz w:val="22"/>
        </w:rPr>
        <w:t>International Research and Critics Institute-Journal (BIRCI-Journal)</w:t>
      </w:r>
      <w:r>
        <w:rPr>
          <w:sz w:val="22"/>
        </w:rPr>
        <w:t>.</w:t>
      </w:r>
    </w:p>
    <w:p>
      <w:pPr>
        <w:spacing w:before="0"/>
        <w:ind w:left="600" w:right="128" w:hanging="481"/>
        <w:jc w:val="both"/>
        <w:rPr>
          <w:sz w:val="22"/>
        </w:rPr>
      </w:pPr>
      <w:r>
        <w:rPr>
          <w:sz w:val="22"/>
        </w:rPr>
        <w:t>Yayang Bella, tri Purwani, I. L. (2023). Analisis Pendapatan Asli Daerah Provinsi Jawa Tengah Periode 2018-2022. </w:t>
      </w:r>
      <w:r>
        <w:rPr>
          <w:i/>
          <w:sz w:val="22"/>
        </w:rPr>
        <w:t>Jurnal Ilmiah Komputerisasi Akuntansi</w:t>
      </w:r>
      <w:r>
        <w:rPr>
          <w:sz w:val="22"/>
        </w:rPr>
        <w:t>, </w:t>
      </w:r>
      <w:r>
        <w:rPr>
          <w:i/>
          <w:sz w:val="22"/>
        </w:rPr>
        <w:t>16</w:t>
      </w:r>
      <w:r>
        <w:rPr>
          <w:sz w:val="22"/>
        </w:rPr>
        <w:t>(2).</w:t>
      </w:r>
    </w:p>
    <w:sectPr>
      <w:pgSz w:w="11910" w:h="16840"/>
      <w:pgMar w:header="891" w:footer="1118" w:top="1640" w:bottom="1300" w:left="15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47872">
              <wp:simplePos x="0" y="0"/>
              <wp:positionH relativeFrom="page">
                <wp:posOffset>6231001</wp:posOffset>
              </wp:positionH>
              <wp:positionV relativeFrom="page">
                <wp:posOffset>9842703</wp:posOffset>
              </wp:positionV>
              <wp:extent cx="2997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972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178</w:t>
                          </w:r>
                          <w:r>
                            <w:rPr>
                              <w:spacing w:val="-5"/>
                            </w:rPr>
                            <w:fldChar w:fldCharType="end"/>
                          </w:r>
                        </w:p>
                      </w:txbxContent>
                    </wps:txbx>
                    <wps:bodyPr wrap="square" lIns="0" tIns="0" rIns="0" bIns="0" rtlCol="0">
                      <a:noAutofit/>
                    </wps:bodyPr>
                  </wps:wsp>
                </a:graphicData>
              </a:graphic>
            </wp:anchor>
          </w:drawing>
        </mc:Choice>
        <mc:Fallback>
          <w:pict>
            <v:shape style="position:absolute;margin-left:490.630005pt;margin-top:775.015991pt;width:23.6pt;height:13.05pt;mso-position-horizontal-relative:page;mso-position-vertical-relative:page;z-index:-16068608" type="#_x0000_t202" id="docshape3"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178</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46848">
              <wp:simplePos x="0" y="0"/>
              <wp:positionH relativeFrom="page">
                <wp:posOffset>1136700</wp:posOffset>
              </wp:positionH>
              <wp:positionV relativeFrom="page">
                <wp:posOffset>552957</wp:posOffset>
              </wp:positionV>
              <wp:extent cx="2365375" cy="309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65375" cy="309245"/>
                      </a:xfrm>
                      <a:prstGeom prst="rect">
                        <a:avLst/>
                      </a:prstGeom>
                    </wps:spPr>
                    <wps:txbx>
                      <w:txbxContent>
                        <w:p>
                          <w:pPr>
                            <w:spacing w:line="225" w:lineRule="exact" w:before="0"/>
                            <w:ind w:left="20" w:right="0" w:firstLine="0"/>
                            <w:jc w:val="left"/>
                            <w:rPr>
                              <w:sz w:val="20"/>
                            </w:rPr>
                          </w:pPr>
                          <w:r>
                            <w:rPr>
                              <w:sz w:val="20"/>
                            </w:rPr>
                            <w:t>J-AKSI:</w:t>
                          </w:r>
                          <w:r>
                            <w:rPr>
                              <w:spacing w:val="-6"/>
                              <w:sz w:val="20"/>
                            </w:rPr>
                            <w:t> </w:t>
                          </w:r>
                          <w:r>
                            <w:rPr>
                              <w:sz w:val="20"/>
                            </w:rPr>
                            <w:t>Jurnal</w:t>
                          </w:r>
                          <w:r>
                            <w:rPr>
                              <w:spacing w:val="-4"/>
                              <w:sz w:val="20"/>
                            </w:rPr>
                            <w:t> </w:t>
                          </w:r>
                          <w:r>
                            <w:rPr>
                              <w:sz w:val="20"/>
                            </w:rPr>
                            <w:t>Akuntansi</w:t>
                          </w:r>
                          <w:r>
                            <w:rPr>
                              <w:spacing w:val="-8"/>
                              <w:sz w:val="20"/>
                            </w:rPr>
                            <w:t> </w:t>
                          </w:r>
                          <w:r>
                            <w:rPr>
                              <w:sz w:val="20"/>
                            </w:rPr>
                            <w:t>dan</w:t>
                          </w:r>
                          <w:r>
                            <w:rPr>
                              <w:spacing w:val="-5"/>
                              <w:sz w:val="20"/>
                            </w:rPr>
                            <w:t> </w:t>
                          </w:r>
                          <w:r>
                            <w:rPr>
                              <w:sz w:val="20"/>
                            </w:rPr>
                            <w:t>Sistem</w:t>
                          </w:r>
                          <w:r>
                            <w:rPr>
                              <w:spacing w:val="-11"/>
                              <w:sz w:val="20"/>
                            </w:rPr>
                            <w:t> </w:t>
                          </w:r>
                          <w:r>
                            <w:rPr>
                              <w:spacing w:val="-2"/>
                              <w:sz w:val="20"/>
                            </w:rPr>
                            <w:t>Informasi</w:t>
                          </w:r>
                        </w:p>
                        <w:p>
                          <w:pPr>
                            <w:spacing w:before="0"/>
                            <w:ind w:left="20" w:right="0" w:firstLine="0"/>
                            <w:jc w:val="left"/>
                            <w:rPr>
                              <w:sz w:val="20"/>
                            </w:rPr>
                          </w:pPr>
                          <w:r>
                            <w:rPr>
                              <w:sz w:val="20"/>
                            </w:rPr>
                            <w:t>E-ISSN:</w:t>
                          </w:r>
                          <w:r>
                            <w:rPr>
                              <w:spacing w:val="-10"/>
                              <w:sz w:val="20"/>
                            </w:rPr>
                            <w:t> </w:t>
                          </w:r>
                          <w:r>
                            <w:rPr>
                              <w:sz w:val="20"/>
                            </w:rPr>
                            <w:t>2745-5343</w:t>
                          </w:r>
                          <w:r>
                            <w:rPr>
                              <w:spacing w:val="-6"/>
                              <w:sz w:val="20"/>
                            </w:rPr>
                            <w:t> </w:t>
                          </w:r>
                          <w:r>
                            <w:rPr>
                              <w:sz w:val="20"/>
                            </w:rPr>
                            <w:t>/</w:t>
                          </w:r>
                          <w:r>
                            <w:rPr>
                              <w:spacing w:val="-9"/>
                              <w:sz w:val="20"/>
                            </w:rPr>
                            <w:t> </w:t>
                          </w:r>
                          <w:r>
                            <w:rPr>
                              <w:sz w:val="20"/>
                            </w:rPr>
                            <w:t>P-ISSN:</w:t>
                          </w:r>
                          <w:r>
                            <w:rPr>
                              <w:spacing w:val="-9"/>
                              <w:sz w:val="20"/>
                            </w:rPr>
                            <w:t> </w:t>
                          </w:r>
                          <w:r>
                            <w:rPr>
                              <w:sz w:val="20"/>
                            </w:rPr>
                            <w:t>2721-</w:t>
                          </w:r>
                          <w:r>
                            <w:rPr>
                              <w:spacing w:val="-4"/>
                              <w:sz w:val="20"/>
                            </w:rPr>
                            <w:t>060X</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503998pt;margin-top:43.539982pt;width:186.25pt;height:24.35pt;mso-position-horizontal-relative:page;mso-position-vertical-relative:page;z-index:-16069632" type="#_x0000_t202" id="docshape1" filled="false" stroked="false">
              <v:textbox inset="0,0,0,0">
                <w:txbxContent>
                  <w:p>
                    <w:pPr>
                      <w:spacing w:line="225" w:lineRule="exact" w:before="0"/>
                      <w:ind w:left="20" w:right="0" w:firstLine="0"/>
                      <w:jc w:val="left"/>
                      <w:rPr>
                        <w:sz w:val="20"/>
                      </w:rPr>
                    </w:pPr>
                    <w:r>
                      <w:rPr>
                        <w:sz w:val="20"/>
                      </w:rPr>
                      <w:t>J-AKSI:</w:t>
                    </w:r>
                    <w:r>
                      <w:rPr>
                        <w:spacing w:val="-6"/>
                        <w:sz w:val="20"/>
                      </w:rPr>
                      <w:t> </w:t>
                    </w:r>
                    <w:r>
                      <w:rPr>
                        <w:sz w:val="20"/>
                      </w:rPr>
                      <w:t>Jurnal</w:t>
                    </w:r>
                    <w:r>
                      <w:rPr>
                        <w:spacing w:val="-4"/>
                        <w:sz w:val="20"/>
                      </w:rPr>
                      <w:t> </w:t>
                    </w:r>
                    <w:r>
                      <w:rPr>
                        <w:sz w:val="20"/>
                      </w:rPr>
                      <w:t>Akuntansi</w:t>
                    </w:r>
                    <w:r>
                      <w:rPr>
                        <w:spacing w:val="-8"/>
                        <w:sz w:val="20"/>
                      </w:rPr>
                      <w:t> </w:t>
                    </w:r>
                    <w:r>
                      <w:rPr>
                        <w:sz w:val="20"/>
                      </w:rPr>
                      <w:t>dan</w:t>
                    </w:r>
                    <w:r>
                      <w:rPr>
                        <w:spacing w:val="-5"/>
                        <w:sz w:val="20"/>
                      </w:rPr>
                      <w:t> </w:t>
                    </w:r>
                    <w:r>
                      <w:rPr>
                        <w:sz w:val="20"/>
                      </w:rPr>
                      <w:t>Sistem</w:t>
                    </w:r>
                    <w:r>
                      <w:rPr>
                        <w:spacing w:val="-11"/>
                        <w:sz w:val="20"/>
                      </w:rPr>
                      <w:t> </w:t>
                    </w:r>
                    <w:r>
                      <w:rPr>
                        <w:spacing w:val="-2"/>
                        <w:sz w:val="20"/>
                      </w:rPr>
                      <w:t>Informasi</w:t>
                    </w:r>
                  </w:p>
                  <w:p>
                    <w:pPr>
                      <w:spacing w:before="0"/>
                      <w:ind w:left="20" w:right="0" w:firstLine="0"/>
                      <w:jc w:val="left"/>
                      <w:rPr>
                        <w:sz w:val="20"/>
                      </w:rPr>
                    </w:pPr>
                    <w:r>
                      <w:rPr>
                        <w:sz w:val="20"/>
                      </w:rPr>
                      <w:t>E-ISSN:</w:t>
                    </w:r>
                    <w:r>
                      <w:rPr>
                        <w:spacing w:val="-10"/>
                        <w:sz w:val="20"/>
                      </w:rPr>
                      <w:t> </w:t>
                    </w:r>
                    <w:r>
                      <w:rPr>
                        <w:sz w:val="20"/>
                      </w:rPr>
                      <w:t>2745-5343</w:t>
                    </w:r>
                    <w:r>
                      <w:rPr>
                        <w:spacing w:val="-6"/>
                        <w:sz w:val="20"/>
                      </w:rPr>
                      <w:t> </w:t>
                    </w:r>
                    <w:r>
                      <w:rPr>
                        <w:sz w:val="20"/>
                      </w:rPr>
                      <w:t>/</w:t>
                    </w:r>
                    <w:r>
                      <w:rPr>
                        <w:spacing w:val="-9"/>
                        <w:sz w:val="20"/>
                      </w:rPr>
                      <w:t> </w:t>
                    </w:r>
                    <w:r>
                      <w:rPr>
                        <w:sz w:val="20"/>
                      </w:rPr>
                      <w:t>P-ISSN:</w:t>
                    </w:r>
                    <w:r>
                      <w:rPr>
                        <w:spacing w:val="-9"/>
                        <w:sz w:val="20"/>
                      </w:rPr>
                      <w:t> </w:t>
                    </w:r>
                    <w:r>
                      <w:rPr>
                        <w:sz w:val="20"/>
                      </w:rPr>
                      <w:t>2721-</w:t>
                    </w:r>
                    <w:r>
                      <w:rPr>
                        <w:spacing w:val="-4"/>
                        <w:sz w:val="20"/>
                      </w:rPr>
                      <w:t>060X</w:t>
                    </w:r>
                  </w:p>
                </w:txbxContent>
              </v:textbox>
              <w10:wrap type="none"/>
            </v:shape>
          </w:pict>
        </mc:Fallback>
      </mc:AlternateContent>
    </w:r>
    <w:r>
      <w:rPr/>
      <mc:AlternateContent>
        <mc:Choice Requires="wps">
          <w:drawing>
            <wp:anchor distT="0" distB="0" distL="0" distR="0" allowOverlap="1" layoutInCell="1" locked="0" behindDoc="1" simplePos="0" relativeHeight="487247360">
              <wp:simplePos x="0" y="0"/>
              <wp:positionH relativeFrom="page">
                <wp:posOffset>4268215</wp:posOffset>
              </wp:positionH>
              <wp:positionV relativeFrom="page">
                <wp:posOffset>552957</wp:posOffset>
              </wp:positionV>
              <wp:extent cx="2300605" cy="309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00605" cy="309245"/>
                      </a:xfrm>
                      <a:prstGeom prst="rect">
                        <a:avLst/>
                      </a:prstGeom>
                    </wps:spPr>
                    <wps:txbx>
                      <w:txbxContent>
                        <w:p>
                          <w:pPr>
                            <w:spacing w:line="225" w:lineRule="exact" w:before="0"/>
                            <w:ind w:left="0" w:right="18" w:firstLine="0"/>
                            <w:jc w:val="right"/>
                            <w:rPr>
                              <w:sz w:val="20"/>
                            </w:rPr>
                          </w:pPr>
                          <w:r>
                            <w:rPr>
                              <w:sz w:val="20"/>
                            </w:rPr>
                            <w:t>Volume</w:t>
                          </w:r>
                          <w:r>
                            <w:rPr>
                              <w:spacing w:val="-6"/>
                              <w:sz w:val="20"/>
                            </w:rPr>
                            <w:t> </w:t>
                          </w:r>
                          <w:r>
                            <w:rPr>
                              <w:sz w:val="20"/>
                            </w:rPr>
                            <w:t>5</w:t>
                          </w:r>
                          <w:r>
                            <w:rPr>
                              <w:spacing w:val="-3"/>
                              <w:sz w:val="20"/>
                            </w:rPr>
                            <w:t> </w:t>
                          </w:r>
                          <w:r>
                            <w:rPr>
                              <w:sz w:val="20"/>
                            </w:rPr>
                            <w:t>Nomor</w:t>
                          </w:r>
                          <w:r>
                            <w:rPr>
                              <w:spacing w:val="-4"/>
                              <w:sz w:val="20"/>
                            </w:rPr>
                            <w:t> </w:t>
                          </w:r>
                          <w:r>
                            <w:rPr>
                              <w:sz w:val="20"/>
                            </w:rPr>
                            <w:t>2</w:t>
                          </w:r>
                          <w:r>
                            <w:rPr>
                              <w:spacing w:val="-3"/>
                              <w:sz w:val="20"/>
                            </w:rPr>
                            <w:t> </w:t>
                          </w:r>
                          <w:r>
                            <w:rPr>
                              <w:sz w:val="20"/>
                            </w:rPr>
                            <w:t>Juni</w:t>
                          </w:r>
                          <w:r>
                            <w:rPr>
                              <w:spacing w:val="1"/>
                              <w:sz w:val="20"/>
                            </w:rPr>
                            <w:t> </w:t>
                          </w:r>
                          <w:r>
                            <w:rPr>
                              <w:spacing w:val="-4"/>
                              <w:sz w:val="20"/>
                            </w:rPr>
                            <w:t>2024</w:t>
                          </w:r>
                        </w:p>
                        <w:p>
                          <w:pPr>
                            <w:spacing w:before="0"/>
                            <w:ind w:left="0" w:right="24" w:firstLine="0"/>
                            <w:jc w:val="right"/>
                            <w:rPr>
                              <w:sz w:val="20"/>
                            </w:rPr>
                          </w:pPr>
                          <w:r>
                            <w:rPr>
                              <w:spacing w:val="-2"/>
                              <w:sz w:val="20"/>
                            </w:rPr>
                            <w:t>https://ejournal.unma.ac.id/index.php/jaksi</w:t>
                          </w:r>
                        </w:p>
                      </w:txbxContent>
                    </wps:txbx>
                    <wps:bodyPr wrap="square" lIns="0" tIns="0" rIns="0" bIns="0" rtlCol="0">
                      <a:noAutofit/>
                    </wps:bodyPr>
                  </wps:wsp>
                </a:graphicData>
              </a:graphic>
            </wp:anchor>
          </w:drawing>
        </mc:Choice>
        <mc:Fallback>
          <w:pict>
            <v:shape style="position:absolute;margin-left:336.079987pt;margin-top:43.539982pt;width:181.15pt;height:24.35pt;mso-position-horizontal-relative:page;mso-position-vertical-relative:page;z-index:-16069120" type="#_x0000_t202" id="docshape2" filled="false" stroked="false">
              <v:textbox inset="0,0,0,0">
                <w:txbxContent>
                  <w:p>
                    <w:pPr>
                      <w:spacing w:line="225" w:lineRule="exact" w:before="0"/>
                      <w:ind w:left="0" w:right="18" w:firstLine="0"/>
                      <w:jc w:val="right"/>
                      <w:rPr>
                        <w:sz w:val="20"/>
                      </w:rPr>
                    </w:pPr>
                    <w:r>
                      <w:rPr>
                        <w:sz w:val="20"/>
                      </w:rPr>
                      <w:t>Volume</w:t>
                    </w:r>
                    <w:r>
                      <w:rPr>
                        <w:spacing w:val="-6"/>
                        <w:sz w:val="20"/>
                      </w:rPr>
                      <w:t> </w:t>
                    </w:r>
                    <w:r>
                      <w:rPr>
                        <w:sz w:val="20"/>
                      </w:rPr>
                      <w:t>5</w:t>
                    </w:r>
                    <w:r>
                      <w:rPr>
                        <w:spacing w:val="-3"/>
                        <w:sz w:val="20"/>
                      </w:rPr>
                      <w:t> </w:t>
                    </w:r>
                    <w:r>
                      <w:rPr>
                        <w:sz w:val="20"/>
                      </w:rPr>
                      <w:t>Nomor</w:t>
                    </w:r>
                    <w:r>
                      <w:rPr>
                        <w:spacing w:val="-4"/>
                        <w:sz w:val="20"/>
                      </w:rPr>
                      <w:t> </w:t>
                    </w:r>
                    <w:r>
                      <w:rPr>
                        <w:sz w:val="20"/>
                      </w:rPr>
                      <w:t>2</w:t>
                    </w:r>
                    <w:r>
                      <w:rPr>
                        <w:spacing w:val="-3"/>
                        <w:sz w:val="20"/>
                      </w:rPr>
                      <w:t> </w:t>
                    </w:r>
                    <w:r>
                      <w:rPr>
                        <w:sz w:val="20"/>
                      </w:rPr>
                      <w:t>Juni</w:t>
                    </w:r>
                    <w:r>
                      <w:rPr>
                        <w:spacing w:val="1"/>
                        <w:sz w:val="20"/>
                      </w:rPr>
                      <w:t> </w:t>
                    </w:r>
                    <w:r>
                      <w:rPr>
                        <w:spacing w:val="-4"/>
                        <w:sz w:val="20"/>
                      </w:rPr>
                      <w:t>2024</w:t>
                    </w:r>
                  </w:p>
                  <w:p>
                    <w:pPr>
                      <w:spacing w:before="0"/>
                      <w:ind w:left="0" w:right="24" w:firstLine="0"/>
                      <w:jc w:val="right"/>
                      <w:rPr>
                        <w:sz w:val="20"/>
                      </w:rPr>
                    </w:pPr>
                    <w:r>
                      <w:rPr>
                        <w:spacing w:val="-2"/>
                        <w:sz w:val="20"/>
                      </w:rPr>
                      <w:t>https://ejournal.unma.ac.id/index.php/jaksi</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80" w:hanging="361"/>
        <w:jc w:val="left"/>
      </w:pPr>
      <w:rPr>
        <w:rFonts w:hint="default" w:ascii="Calibri" w:hAnsi="Calibri" w:eastAsia="Calibri" w:cs="Calibri"/>
        <w:b w:val="0"/>
        <w:bCs w:val="0"/>
        <w:i w:val="0"/>
        <w:iCs w:val="0"/>
        <w:spacing w:val="-2"/>
        <w:w w:val="100"/>
        <w:sz w:val="22"/>
        <w:szCs w:val="22"/>
        <w:lang w:val="id" w:eastAsia="en-US" w:bidi="ar-SA"/>
      </w:rPr>
    </w:lvl>
    <w:lvl w:ilvl="1">
      <w:start w:val="1"/>
      <w:numFmt w:val="lowerLetter"/>
      <w:lvlText w:val="%2."/>
      <w:lvlJc w:val="left"/>
      <w:pPr>
        <w:ind w:left="830" w:hanging="360"/>
        <w:jc w:val="left"/>
      </w:pPr>
      <w:rPr>
        <w:rFonts w:hint="default"/>
        <w:spacing w:val="-1"/>
        <w:w w:val="100"/>
        <w:lang w:val="id" w:eastAsia="en-US" w:bidi="ar-SA"/>
      </w:rPr>
    </w:lvl>
    <w:lvl w:ilvl="2">
      <w:start w:val="0"/>
      <w:numFmt w:val="bullet"/>
      <w:lvlText w:val="•"/>
      <w:lvlJc w:val="left"/>
      <w:pPr>
        <w:ind w:left="1718" w:hanging="360"/>
      </w:pPr>
      <w:rPr>
        <w:rFonts w:hint="default"/>
        <w:lang w:val="id" w:eastAsia="en-US" w:bidi="ar-SA"/>
      </w:rPr>
    </w:lvl>
    <w:lvl w:ilvl="3">
      <w:start w:val="0"/>
      <w:numFmt w:val="bullet"/>
      <w:lvlText w:val="•"/>
      <w:lvlJc w:val="left"/>
      <w:pPr>
        <w:ind w:left="2596" w:hanging="360"/>
      </w:pPr>
      <w:rPr>
        <w:rFonts w:hint="default"/>
        <w:lang w:val="id" w:eastAsia="en-US" w:bidi="ar-SA"/>
      </w:rPr>
    </w:lvl>
    <w:lvl w:ilvl="4">
      <w:start w:val="0"/>
      <w:numFmt w:val="bullet"/>
      <w:lvlText w:val="•"/>
      <w:lvlJc w:val="left"/>
      <w:pPr>
        <w:ind w:left="3474" w:hanging="360"/>
      </w:pPr>
      <w:rPr>
        <w:rFonts w:hint="default"/>
        <w:lang w:val="id" w:eastAsia="en-US" w:bidi="ar-SA"/>
      </w:rPr>
    </w:lvl>
    <w:lvl w:ilvl="5">
      <w:start w:val="0"/>
      <w:numFmt w:val="bullet"/>
      <w:lvlText w:val="•"/>
      <w:lvlJc w:val="left"/>
      <w:pPr>
        <w:ind w:left="4352" w:hanging="360"/>
      </w:pPr>
      <w:rPr>
        <w:rFonts w:hint="default"/>
        <w:lang w:val="id" w:eastAsia="en-US" w:bidi="ar-SA"/>
      </w:rPr>
    </w:lvl>
    <w:lvl w:ilvl="6">
      <w:start w:val="0"/>
      <w:numFmt w:val="bullet"/>
      <w:lvlText w:val="•"/>
      <w:lvlJc w:val="left"/>
      <w:pPr>
        <w:ind w:left="5231" w:hanging="360"/>
      </w:pPr>
      <w:rPr>
        <w:rFonts w:hint="default"/>
        <w:lang w:val="id" w:eastAsia="en-US" w:bidi="ar-SA"/>
      </w:rPr>
    </w:lvl>
    <w:lvl w:ilvl="7">
      <w:start w:val="0"/>
      <w:numFmt w:val="bullet"/>
      <w:lvlText w:val="•"/>
      <w:lvlJc w:val="left"/>
      <w:pPr>
        <w:ind w:left="6109" w:hanging="360"/>
      </w:pPr>
      <w:rPr>
        <w:rFonts w:hint="default"/>
        <w:lang w:val="id" w:eastAsia="en-US" w:bidi="ar-SA"/>
      </w:rPr>
    </w:lvl>
    <w:lvl w:ilvl="8">
      <w:start w:val="0"/>
      <w:numFmt w:val="bullet"/>
      <w:lvlText w:val="•"/>
      <w:lvlJc w:val="left"/>
      <w:pPr>
        <w:ind w:left="6987" w:hanging="360"/>
      </w:pPr>
      <w:rPr>
        <w:rFonts w:hint="default"/>
        <w:lang w:val="id" w:eastAsia="en-US" w:bidi="ar-SA"/>
      </w:rPr>
    </w:lvl>
  </w:abstractNum>
  <w:abstractNum w:abstractNumId="1">
    <w:multiLevelType w:val="hybridMultilevel"/>
    <w:lvl w:ilvl="0">
      <w:start w:val="1"/>
      <w:numFmt w:val="decimal"/>
      <w:lvlText w:val="%1."/>
      <w:lvlJc w:val="left"/>
      <w:pPr>
        <w:ind w:left="480" w:hanging="361"/>
        <w:jc w:val="left"/>
      </w:pPr>
      <w:rPr>
        <w:rFonts w:hint="default" w:ascii="Calibri" w:hAnsi="Calibri" w:eastAsia="Calibri" w:cs="Calibri"/>
        <w:b w:val="0"/>
        <w:bCs w:val="0"/>
        <w:i w:val="0"/>
        <w:iCs w:val="0"/>
        <w:spacing w:val="-2"/>
        <w:w w:val="100"/>
        <w:sz w:val="22"/>
        <w:szCs w:val="22"/>
        <w:lang w:val="id" w:eastAsia="en-US" w:bidi="ar-SA"/>
      </w:rPr>
    </w:lvl>
    <w:lvl w:ilvl="1">
      <w:start w:val="0"/>
      <w:numFmt w:val="bullet"/>
      <w:lvlText w:val="•"/>
      <w:lvlJc w:val="left"/>
      <w:pPr>
        <w:ind w:left="1306" w:hanging="361"/>
      </w:pPr>
      <w:rPr>
        <w:rFonts w:hint="default"/>
        <w:lang w:val="id" w:eastAsia="en-US" w:bidi="ar-SA"/>
      </w:rPr>
    </w:lvl>
    <w:lvl w:ilvl="2">
      <w:start w:val="0"/>
      <w:numFmt w:val="bullet"/>
      <w:lvlText w:val="•"/>
      <w:lvlJc w:val="left"/>
      <w:pPr>
        <w:ind w:left="2132" w:hanging="361"/>
      </w:pPr>
      <w:rPr>
        <w:rFonts w:hint="default"/>
        <w:lang w:val="id" w:eastAsia="en-US" w:bidi="ar-SA"/>
      </w:rPr>
    </w:lvl>
    <w:lvl w:ilvl="3">
      <w:start w:val="0"/>
      <w:numFmt w:val="bullet"/>
      <w:lvlText w:val="•"/>
      <w:lvlJc w:val="left"/>
      <w:pPr>
        <w:ind w:left="2959" w:hanging="361"/>
      </w:pPr>
      <w:rPr>
        <w:rFonts w:hint="default"/>
        <w:lang w:val="id" w:eastAsia="en-US" w:bidi="ar-SA"/>
      </w:rPr>
    </w:lvl>
    <w:lvl w:ilvl="4">
      <w:start w:val="0"/>
      <w:numFmt w:val="bullet"/>
      <w:lvlText w:val="•"/>
      <w:lvlJc w:val="left"/>
      <w:pPr>
        <w:ind w:left="3785" w:hanging="361"/>
      </w:pPr>
      <w:rPr>
        <w:rFonts w:hint="default"/>
        <w:lang w:val="id" w:eastAsia="en-US" w:bidi="ar-SA"/>
      </w:rPr>
    </w:lvl>
    <w:lvl w:ilvl="5">
      <w:start w:val="0"/>
      <w:numFmt w:val="bullet"/>
      <w:lvlText w:val="•"/>
      <w:lvlJc w:val="left"/>
      <w:pPr>
        <w:ind w:left="4612" w:hanging="361"/>
      </w:pPr>
      <w:rPr>
        <w:rFonts w:hint="default"/>
        <w:lang w:val="id" w:eastAsia="en-US" w:bidi="ar-SA"/>
      </w:rPr>
    </w:lvl>
    <w:lvl w:ilvl="6">
      <w:start w:val="0"/>
      <w:numFmt w:val="bullet"/>
      <w:lvlText w:val="•"/>
      <w:lvlJc w:val="left"/>
      <w:pPr>
        <w:ind w:left="5438" w:hanging="361"/>
      </w:pPr>
      <w:rPr>
        <w:rFonts w:hint="default"/>
        <w:lang w:val="id" w:eastAsia="en-US" w:bidi="ar-SA"/>
      </w:rPr>
    </w:lvl>
    <w:lvl w:ilvl="7">
      <w:start w:val="0"/>
      <w:numFmt w:val="bullet"/>
      <w:lvlText w:val="•"/>
      <w:lvlJc w:val="left"/>
      <w:pPr>
        <w:ind w:left="6264" w:hanging="361"/>
      </w:pPr>
      <w:rPr>
        <w:rFonts w:hint="default"/>
        <w:lang w:val="id" w:eastAsia="en-US" w:bidi="ar-SA"/>
      </w:rPr>
    </w:lvl>
    <w:lvl w:ilvl="8">
      <w:start w:val="0"/>
      <w:numFmt w:val="bullet"/>
      <w:lvlText w:val="•"/>
      <w:lvlJc w:val="left"/>
      <w:pPr>
        <w:ind w:left="7091" w:hanging="361"/>
      </w:pPr>
      <w:rPr>
        <w:rFonts w:hint="default"/>
        <w:lang w:val="id" w:eastAsia="en-US" w:bidi="ar-SA"/>
      </w:rPr>
    </w:lvl>
  </w:abstractNum>
  <w:abstractNum w:abstractNumId="0">
    <w:multiLevelType w:val="hybridMultilevel"/>
    <w:lvl w:ilvl="0">
      <w:start w:val="1"/>
      <w:numFmt w:val="lowerLetter"/>
      <w:lvlText w:val="%1."/>
      <w:lvlJc w:val="left"/>
      <w:pPr>
        <w:ind w:left="1362" w:hanging="211"/>
        <w:jc w:val="left"/>
      </w:pPr>
      <w:rPr>
        <w:rFonts w:hint="default" w:ascii="Calibri" w:hAnsi="Calibri" w:eastAsia="Calibri" w:cs="Calibri"/>
        <w:b w:val="0"/>
        <w:bCs w:val="0"/>
        <w:i w:val="0"/>
        <w:iCs w:val="0"/>
        <w:color w:val="000104"/>
        <w:spacing w:val="-1"/>
        <w:w w:val="100"/>
        <w:sz w:val="22"/>
        <w:szCs w:val="22"/>
        <w:lang w:val="id" w:eastAsia="en-US" w:bidi="ar-SA"/>
      </w:rPr>
    </w:lvl>
    <w:lvl w:ilvl="1">
      <w:start w:val="0"/>
      <w:numFmt w:val="bullet"/>
      <w:lvlText w:val="•"/>
      <w:lvlJc w:val="left"/>
      <w:pPr>
        <w:ind w:left="2098" w:hanging="211"/>
      </w:pPr>
      <w:rPr>
        <w:rFonts w:hint="default"/>
        <w:lang w:val="id" w:eastAsia="en-US" w:bidi="ar-SA"/>
      </w:rPr>
    </w:lvl>
    <w:lvl w:ilvl="2">
      <w:start w:val="0"/>
      <w:numFmt w:val="bullet"/>
      <w:lvlText w:val="•"/>
      <w:lvlJc w:val="left"/>
      <w:pPr>
        <w:ind w:left="2836" w:hanging="211"/>
      </w:pPr>
      <w:rPr>
        <w:rFonts w:hint="default"/>
        <w:lang w:val="id" w:eastAsia="en-US" w:bidi="ar-SA"/>
      </w:rPr>
    </w:lvl>
    <w:lvl w:ilvl="3">
      <w:start w:val="0"/>
      <w:numFmt w:val="bullet"/>
      <w:lvlText w:val="•"/>
      <w:lvlJc w:val="left"/>
      <w:pPr>
        <w:ind w:left="3575" w:hanging="211"/>
      </w:pPr>
      <w:rPr>
        <w:rFonts w:hint="default"/>
        <w:lang w:val="id" w:eastAsia="en-US" w:bidi="ar-SA"/>
      </w:rPr>
    </w:lvl>
    <w:lvl w:ilvl="4">
      <w:start w:val="0"/>
      <w:numFmt w:val="bullet"/>
      <w:lvlText w:val="•"/>
      <w:lvlJc w:val="left"/>
      <w:pPr>
        <w:ind w:left="4313" w:hanging="211"/>
      </w:pPr>
      <w:rPr>
        <w:rFonts w:hint="default"/>
        <w:lang w:val="id" w:eastAsia="en-US" w:bidi="ar-SA"/>
      </w:rPr>
    </w:lvl>
    <w:lvl w:ilvl="5">
      <w:start w:val="0"/>
      <w:numFmt w:val="bullet"/>
      <w:lvlText w:val="•"/>
      <w:lvlJc w:val="left"/>
      <w:pPr>
        <w:ind w:left="5052" w:hanging="211"/>
      </w:pPr>
      <w:rPr>
        <w:rFonts w:hint="default"/>
        <w:lang w:val="id" w:eastAsia="en-US" w:bidi="ar-SA"/>
      </w:rPr>
    </w:lvl>
    <w:lvl w:ilvl="6">
      <w:start w:val="0"/>
      <w:numFmt w:val="bullet"/>
      <w:lvlText w:val="•"/>
      <w:lvlJc w:val="left"/>
      <w:pPr>
        <w:ind w:left="5790" w:hanging="211"/>
      </w:pPr>
      <w:rPr>
        <w:rFonts w:hint="default"/>
        <w:lang w:val="id" w:eastAsia="en-US" w:bidi="ar-SA"/>
      </w:rPr>
    </w:lvl>
    <w:lvl w:ilvl="7">
      <w:start w:val="0"/>
      <w:numFmt w:val="bullet"/>
      <w:lvlText w:val="•"/>
      <w:lvlJc w:val="left"/>
      <w:pPr>
        <w:ind w:left="6528" w:hanging="211"/>
      </w:pPr>
      <w:rPr>
        <w:rFonts w:hint="default"/>
        <w:lang w:val="id" w:eastAsia="en-US" w:bidi="ar-SA"/>
      </w:rPr>
    </w:lvl>
    <w:lvl w:ilvl="8">
      <w:start w:val="0"/>
      <w:numFmt w:val="bullet"/>
      <w:lvlText w:val="•"/>
      <w:lvlJc w:val="left"/>
      <w:pPr>
        <w:ind w:left="7267" w:hanging="211"/>
      </w:pPr>
      <w:rPr>
        <w:rFonts w:hint="default"/>
        <w:lang w:val="id"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d" w:eastAsia="en-US" w:bidi="ar-SA"/>
    </w:rPr>
  </w:style>
  <w:style w:styleId="BodyText" w:type="paragraph">
    <w:name w:val="Body Text"/>
    <w:basedOn w:val="Normal"/>
    <w:uiPriority w:val="1"/>
    <w:qFormat/>
    <w:pPr/>
    <w:rPr>
      <w:rFonts w:ascii="Calibri" w:hAnsi="Calibri" w:eastAsia="Calibri" w:cs="Calibri"/>
      <w:sz w:val="22"/>
      <w:szCs w:val="22"/>
      <w:lang w:val="id" w:eastAsia="en-US" w:bidi="ar-SA"/>
    </w:rPr>
  </w:style>
  <w:style w:styleId="Heading1" w:type="paragraph">
    <w:name w:val="Heading 1"/>
    <w:basedOn w:val="Normal"/>
    <w:uiPriority w:val="1"/>
    <w:qFormat/>
    <w:pPr>
      <w:ind w:left="119"/>
      <w:outlineLvl w:val="1"/>
    </w:pPr>
    <w:rPr>
      <w:rFonts w:ascii="Calibri" w:hAnsi="Calibri" w:eastAsia="Calibri" w:cs="Calibri"/>
      <w:b/>
      <w:bCs/>
      <w:sz w:val="22"/>
      <w:szCs w:val="22"/>
      <w:lang w:val="id" w:eastAsia="en-US" w:bidi="ar-SA"/>
    </w:rPr>
  </w:style>
  <w:style w:styleId="Heading2" w:type="paragraph">
    <w:name w:val="Heading 2"/>
    <w:basedOn w:val="Normal"/>
    <w:uiPriority w:val="1"/>
    <w:qFormat/>
    <w:pPr>
      <w:ind w:left="119"/>
      <w:outlineLvl w:val="2"/>
    </w:pPr>
    <w:rPr>
      <w:rFonts w:ascii="Calibri" w:hAnsi="Calibri" w:eastAsia="Calibri" w:cs="Calibri"/>
      <w:b/>
      <w:bCs/>
      <w:sz w:val="22"/>
      <w:szCs w:val="22"/>
      <w:lang w:val="id" w:eastAsia="en-US" w:bidi="ar-SA"/>
    </w:rPr>
  </w:style>
  <w:style w:styleId="Title" w:type="paragraph">
    <w:name w:val="Title"/>
    <w:basedOn w:val="Normal"/>
    <w:uiPriority w:val="1"/>
    <w:qFormat/>
    <w:pPr>
      <w:spacing w:before="41"/>
      <w:ind w:left="965" w:right="971" w:firstLine="11"/>
      <w:jc w:val="center"/>
    </w:pPr>
    <w:rPr>
      <w:rFonts w:ascii="Calibri" w:hAnsi="Calibri" w:eastAsia="Calibri" w:cs="Calibri"/>
      <w:sz w:val="28"/>
      <w:szCs w:val="28"/>
      <w:lang w:val="id" w:eastAsia="en-US" w:bidi="ar-SA"/>
    </w:rPr>
  </w:style>
  <w:style w:styleId="ListParagraph" w:type="paragraph">
    <w:name w:val="List Paragraph"/>
    <w:basedOn w:val="Normal"/>
    <w:uiPriority w:val="1"/>
    <w:qFormat/>
    <w:pPr>
      <w:spacing w:before="1"/>
      <w:ind w:left="478" w:hanging="359"/>
      <w:jc w:val="both"/>
    </w:pPr>
    <w:rPr>
      <w:rFonts w:ascii="Calibri" w:hAnsi="Calibri" w:eastAsia="Calibri" w:cs="Calibri"/>
      <w:lang w:val="id" w:eastAsia="en-US" w:bidi="ar-SA"/>
    </w:rPr>
  </w:style>
  <w:style w:styleId="TableParagraph" w:type="paragraph">
    <w:name w:val="Table Paragraph"/>
    <w:basedOn w:val="Normal"/>
    <w:uiPriority w:val="1"/>
    <w:qFormat/>
    <w:pPr/>
    <w:rPr>
      <w:rFonts w:ascii="Calibri" w:hAnsi="Calibri" w:eastAsia="Calibri" w:cs="Calibri"/>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hanisrimulyani@unma.ac.id" TargetMode="External"/><Relationship Id="rId8" Type="http://schemas.openxmlformats.org/officeDocument/2006/relationships/hyperlink" Target="http://www.djpk.kemenkeu.go.id/"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dcterms:created xsi:type="dcterms:W3CDTF">2024-07-31T11:42:40Z</dcterms:created>
  <dcterms:modified xsi:type="dcterms:W3CDTF">2024-07-31T11:42:40Z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2016</vt:lpwstr>
  </property>
  <property fmtid="{D5CDD505-2E9C-101B-9397-08002B2CF9AE}" pid="4" name="LastSaved">
    <vt:filetime>2024-07-31T00:00:00Z</vt:filetime>
  </property>
  <property fmtid="{D5CDD505-2E9C-101B-9397-08002B2CF9AE}" pid="5" name="Producer">
    <vt:lpwstr>www.ilovepdf.com</vt:lpwstr>
  </property>
</Properties>
</file>