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1ED56F" w14:textId="77777777" w:rsidR="00340533" w:rsidRPr="00340533" w:rsidRDefault="00340533" w:rsidP="00336BA2">
      <w:pPr>
        <w:spacing w:after="480" w:line="240" w:lineRule="auto"/>
        <w:rPr>
          <w:rFonts w:ascii="Garamond" w:hAnsi="Garamond" w:cs="Lucida Sans"/>
          <w:b/>
          <w:color w:val="244061" w:themeColor="accent1" w:themeShade="80"/>
          <w:sz w:val="32"/>
          <w:szCs w:val="32"/>
        </w:rPr>
      </w:pPr>
      <w:r w:rsidRPr="00340533">
        <w:rPr>
          <w:rFonts w:ascii="Garamond" w:hAnsi="Garamond" w:cs="Lucida Sans"/>
          <w:b/>
          <w:color w:val="244061" w:themeColor="accent1" w:themeShade="80"/>
          <w:sz w:val="32"/>
          <w:szCs w:val="32"/>
        </w:rPr>
        <w:t>Pembelajaran Digital Dengan Kecerdasan Buatan (AI): Korelasi AI Terhadap Motivasi Belajar Siswa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464"/>
      </w:tblGrid>
      <w:tr w:rsidR="00995832" w:rsidRPr="00336BA2" w14:paraId="7FDBB9C1" w14:textId="77777777" w:rsidTr="005F1B0A">
        <w:tc>
          <w:tcPr>
            <w:tcW w:w="9464" w:type="dxa"/>
            <w:shd w:val="clear" w:color="auto" w:fill="DBE5F1" w:themeFill="accent1" w:themeFillTint="33"/>
          </w:tcPr>
          <w:p w14:paraId="7769E1D8" w14:textId="3765EE05" w:rsidR="00995832" w:rsidRPr="00336BA2" w:rsidRDefault="00340533" w:rsidP="00A846F6">
            <w:pPr>
              <w:spacing w:line="276" w:lineRule="auto"/>
              <w:rPr>
                <w:rFonts w:ascii="Garamond" w:hAnsi="Garamond" w:cs="Lucida Sans"/>
                <w:b/>
                <w:sz w:val="22"/>
                <w:szCs w:val="22"/>
                <w:vertAlign w:val="superscript"/>
              </w:rPr>
            </w:pPr>
            <w:r w:rsidRPr="00336BA2">
              <w:rPr>
                <w:rFonts w:ascii="Garamond" w:hAnsi="Garamond" w:cs="Lucida Sans"/>
                <w:b/>
                <w:sz w:val="22"/>
                <w:szCs w:val="22"/>
              </w:rPr>
              <w:t>Selviana Ronsumbre</w:t>
            </w:r>
            <w:r w:rsidRPr="00336BA2">
              <w:rPr>
                <w:rFonts w:ascii="Garamond" w:hAnsi="Garamond" w:cs="Lucida Sans"/>
                <w:b/>
                <w:sz w:val="22"/>
                <w:szCs w:val="22"/>
                <w:vertAlign w:val="superscript"/>
              </w:rPr>
              <w:t>1</w:t>
            </w:r>
            <w:r w:rsidRPr="00336BA2">
              <w:rPr>
                <w:rFonts w:ascii="Garamond" w:hAnsi="Garamond" w:cs="Lucida Sans"/>
                <w:b/>
                <w:sz w:val="22"/>
                <w:szCs w:val="22"/>
              </w:rPr>
              <w:t>, Titik Rukmawati</w:t>
            </w:r>
            <w:r w:rsidRPr="00336BA2">
              <w:rPr>
                <w:rFonts w:ascii="Garamond" w:hAnsi="Garamond" w:cs="Lucida Sans"/>
                <w:b/>
                <w:sz w:val="22"/>
                <w:szCs w:val="22"/>
                <w:vertAlign w:val="superscript"/>
              </w:rPr>
              <w:t>2</w:t>
            </w:r>
            <w:r w:rsidRPr="00336BA2">
              <w:rPr>
                <w:rFonts w:ascii="Garamond" w:hAnsi="Garamond" w:cs="Lucida Sans"/>
                <w:b/>
                <w:sz w:val="22"/>
                <w:szCs w:val="22"/>
              </w:rPr>
              <w:t>, Adi Sumarsono</w:t>
            </w:r>
            <w:r w:rsidRPr="00336BA2">
              <w:rPr>
                <w:rFonts w:ascii="Garamond" w:hAnsi="Garamond" w:cs="Lucida Sans"/>
                <w:b/>
                <w:sz w:val="22"/>
                <w:szCs w:val="22"/>
                <w:vertAlign w:val="superscript"/>
              </w:rPr>
              <w:t>3*</w:t>
            </w:r>
            <w:r w:rsidRPr="00336BA2">
              <w:rPr>
                <w:rFonts w:ascii="Garamond" w:hAnsi="Garamond" w:cs="Lucida Sans"/>
                <w:b/>
                <w:sz w:val="22"/>
                <w:szCs w:val="22"/>
              </w:rPr>
              <w:t>, Richard Semuel Waremra</w:t>
            </w:r>
            <w:r w:rsidRPr="00336BA2">
              <w:rPr>
                <w:rFonts w:ascii="Garamond" w:hAnsi="Garamond" w:cs="Lucida Sans"/>
                <w:b/>
                <w:sz w:val="22"/>
                <w:szCs w:val="22"/>
                <w:vertAlign w:val="superscript"/>
              </w:rPr>
              <w:t>4</w:t>
            </w:r>
          </w:p>
          <w:p w14:paraId="340A2197" w14:textId="592DF58E" w:rsidR="00995832" w:rsidRPr="00336BA2" w:rsidRDefault="00995832" w:rsidP="00A846F6">
            <w:pPr>
              <w:spacing w:line="276" w:lineRule="auto"/>
              <w:rPr>
                <w:rFonts w:ascii="Garamond" w:hAnsi="Garamond" w:cs="Lucida Sans"/>
                <w:sz w:val="22"/>
                <w:szCs w:val="22"/>
              </w:rPr>
            </w:pPr>
            <w:r w:rsidRPr="00336BA2">
              <w:rPr>
                <w:rFonts w:ascii="Garamond" w:hAnsi="Garamond" w:cs="Lucida Sans"/>
                <w:sz w:val="22"/>
                <w:szCs w:val="22"/>
                <w:vertAlign w:val="superscript"/>
              </w:rPr>
              <w:t>1</w:t>
            </w:r>
            <w:r w:rsidR="00340533" w:rsidRPr="00336BA2">
              <w:rPr>
                <w:rFonts w:ascii="Garamond" w:hAnsi="Garamond" w:cs="Lucida Sans"/>
                <w:sz w:val="22"/>
                <w:szCs w:val="22"/>
                <w:vertAlign w:val="superscript"/>
              </w:rPr>
              <w:t>,2,4</w:t>
            </w:r>
            <w:r w:rsidR="00340533" w:rsidRPr="00336BA2">
              <w:rPr>
                <w:rFonts w:ascii="Garamond" w:hAnsi="Garamond" w:cs="Lucida Sans"/>
                <w:sz w:val="22"/>
                <w:szCs w:val="22"/>
              </w:rPr>
              <w:t>Pendidikan Profesi Guru, Universitas Musamus Merauke, Merauke, Indonesia</w:t>
            </w:r>
          </w:p>
          <w:p w14:paraId="03B77D18" w14:textId="7B99F2C3" w:rsidR="00995832" w:rsidRPr="00336BA2" w:rsidRDefault="00340533" w:rsidP="00A846F6">
            <w:pPr>
              <w:spacing w:line="276" w:lineRule="auto"/>
              <w:rPr>
                <w:rFonts w:ascii="Garamond" w:hAnsi="Garamond" w:cs="Lucida Sans"/>
                <w:sz w:val="22"/>
                <w:szCs w:val="22"/>
              </w:rPr>
            </w:pPr>
            <w:r w:rsidRPr="00336BA2">
              <w:rPr>
                <w:rFonts w:ascii="Garamond" w:hAnsi="Garamond" w:cs="Lucida Sans"/>
                <w:sz w:val="22"/>
                <w:szCs w:val="22"/>
                <w:vertAlign w:val="superscript"/>
              </w:rPr>
              <w:t>3</w:t>
            </w:r>
            <w:r w:rsidRPr="00336BA2">
              <w:rPr>
                <w:rFonts w:ascii="Garamond" w:hAnsi="Garamond" w:cs="Lucida Sans"/>
                <w:sz w:val="22"/>
                <w:szCs w:val="22"/>
              </w:rPr>
              <w:t>Pendidikan Jasmani, Kesehatan dan Rekreasi, FKIP, Universitas Musamus Merauke, Indonesia</w:t>
            </w:r>
          </w:p>
          <w:p w14:paraId="3146B007" w14:textId="16FC23C5" w:rsidR="00995832" w:rsidRPr="00336BA2" w:rsidRDefault="00995832" w:rsidP="00A846F6">
            <w:pPr>
              <w:spacing w:line="276" w:lineRule="auto"/>
              <w:rPr>
                <w:rFonts w:ascii="Garamond" w:hAnsi="Garamond" w:cs="Lucida Sans"/>
                <w:b/>
                <w:sz w:val="22"/>
                <w:szCs w:val="22"/>
              </w:rPr>
            </w:pPr>
            <w:r w:rsidRPr="00336BA2">
              <w:rPr>
                <w:rFonts w:ascii="Garamond" w:hAnsi="Garamond" w:cs="Lucida Sans"/>
                <w:sz w:val="22"/>
                <w:szCs w:val="22"/>
              </w:rPr>
              <w:t xml:space="preserve">*Coresponding Author: </w:t>
            </w:r>
            <w:r w:rsidR="00340533" w:rsidRPr="00336BA2">
              <w:rPr>
                <w:rFonts w:ascii="Garamond" w:hAnsi="Garamond" w:cs="Lucida Sans"/>
                <w:sz w:val="22"/>
                <w:szCs w:val="22"/>
              </w:rPr>
              <w:t xml:space="preserve">Lahida_fkip@unmus.ac.id </w:t>
            </w:r>
          </w:p>
        </w:tc>
      </w:tr>
    </w:tbl>
    <w:p w14:paraId="2B7230AD" w14:textId="77777777" w:rsidR="00995832" w:rsidRPr="00C81D07" w:rsidRDefault="00995832" w:rsidP="00336BA2">
      <w:pPr>
        <w:spacing w:after="0" w:line="240" w:lineRule="auto"/>
        <w:jc w:val="right"/>
        <w:rPr>
          <w:rFonts w:ascii="Garamond" w:hAnsi="Garamond" w:cs="Lucida Sans"/>
          <w:b/>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946"/>
      </w:tblGrid>
      <w:tr w:rsidR="00995832" w:rsidRPr="00C81D07" w14:paraId="3F4E63C0" w14:textId="77777777" w:rsidTr="005F1B0A">
        <w:tc>
          <w:tcPr>
            <w:tcW w:w="2518" w:type="dxa"/>
          </w:tcPr>
          <w:p w14:paraId="56C23796" w14:textId="77777777" w:rsidR="00995832" w:rsidRPr="00C81D07" w:rsidRDefault="00995832" w:rsidP="00733B2E">
            <w:pPr>
              <w:ind w:right="-2"/>
              <w:rPr>
                <w:rFonts w:ascii="Garamond" w:hAnsi="Garamond" w:cs="Lucida Sans"/>
                <w:szCs w:val="18"/>
                <w:lang w:val="pt-BR"/>
              </w:rPr>
            </w:pPr>
          </w:p>
        </w:tc>
        <w:tc>
          <w:tcPr>
            <w:tcW w:w="6946" w:type="dxa"/>
            <w:shd w:val="clear" w:color="auto" w:fill="95B3D7" w:themeFill="accent1" w:themeFillTint="99"/>
          </w:tcPr>
          <w:p w14:paraId="73DB4E0E" w14:textId="77777777" w:rsidR="00995832" w:rsidRPr="00D178D7" w:rsidRDefault="00D178D7" w:rsidP="00733B2E">
            <w:pPr>
              <w:ind w:right="-2"/>
              <w:rPr>
                <w:rFonts w:ascii="Garamond" w:hAnsi="Garamond" w:cs="Lucida Sans"/>
                <w:b/>
                <w:i/>
                <w:szCs w:val="18"/>
                <w:lang w:val="pt-BR"/>
              </w:rPr>
            </w:pPr>
            <w:r w:rsidRPr="00D178D7">
              <w:rPr>
                <w:rFonts w:ascii="Garamond" w:hAnsi="Garamond" w:cs="Lucida Sans"/>
                <w:b/>
                <w:i/>
                <w:szCs w:val="18"/>
                <w:lang w:val="pt-BR"/>
              </w:rPr>
              <w:t>Abstract</w:t>
            </w:r>
          </w:p>
        </w:tc>
      </w:tr>
      <w:tr w:rsidR="00995832" w:rsidRPr="00C81D07" w14:paraId="62EEB17D" w14:textId="77777777" w:rsidTr="005F1B0A">
        <w:tc>
          <w:tcPr>
            <w:tcW w:w="2518" w:type="dxa"/>
          </w:tcPr>
          <w:p w14:paraId="3D558F8C" w14:textId="77777777" w:rsidR="00995832" w:rsidRPr="00C81D07" w:rsidRDefault="00995832" w:rsidP="00733B2E">
            <w:pPr>
              <w:ind w:right="-2"/>
              <w:rPr>
                <w:rFonts w:ascii="Garamond" w:hAnsi="Garamond" w:cs="Lucida Sans"/>
                <w:szCs w:val="18"/>
                <w:lang w:val="pt-BR"/>
              </w:rPr>
            </w:pPr>
          </w:p>
        </w:tc>
        <w:tc>
          <w:tcPr>
            <w:tcW w:w="6946" w:type="dxa"/>
            <w:shd w:val="clear" w:color="auto" w:fill="DBE5F1" w:themeFill="accent1" w:themeFillTint="33"/>
          </w:tcPr>
          <w:p w14:paraId="1670BCB0" w14:textId="70424DC4" w:rsidR="00995832" w:rsidRPr="00D178D7" w:rsidRDefault="00340533" w:rsidP="00995832">
            <w:pPr>
              <w:ind w:right="-2"/>
              <w:jc w:val="both"/>
              <w:rPr>
                <w:rFonts w:ascii="Garamond" w:hAnsi="Garamond" w:cs="Lucida Sans"/>
                <w:i/>
                <w:szCs w:val="18"/>
                <w:lang w:val="pt-BR"/>
              </w:rPr>
            </w:pPr>
            <w:r w:rsidRPr="00340533">
              <w:rPr>
                <w:rFonts w:ascii="Garamond" w:hAnsi="Garamond" w:cs="Lucida Sans"/>
                <w:i/>
                <w:szCs w:val="18"/>
                <w:lang w:val="pt-BR"/>
              </w:rPr>
              <w:t>The use of Artificial Intelligence (AI) in the context of digital learning has become a trend in modern education. This study aims to illustrate the implications of using AI on student learning motivation. Student learning motivation is a key factor in improving academic achievement and self-development. By utilizing AI technology in the learning process, we can identify the role of AI in increasing student learning motivation. Using combined methods (qualitative and quantitative), this study involved surveys (questionnaires) and analysis of data from various relevant literature sources. The results showed that AI can contribute positively to student learning motivation in several ways. First, AI can provide personalized feedback that helps students understand their progress better. Second, AI can design learning experiences tailored to individual learning styles, thereby increasing student interest and engagement in learning. Third, AI can identify students' learning difficulties and provide additional assistance in real-time, thereby reducing students' frustration and increasing their motivation to overcome challenges. However, the study also identified several challenges that need to be addressed in the use of AI in digital learning. One of them is the issue of privacy and security of student data that must be carefully managed. In addition, the development and implementation of AI technology in an educational context requires significant investment in teacher training and technology infrastructure. Thus, the study highlights the importance of wisely integrating AI in education and emphasizes the need for attention to ethical and practical aspects</w:t>
            </w:r>
            <w:r w:rsidR="00704B9B" w:rsidRPr="00704B9B">
              <w:rPr>
                <w:rFonts w:ascii="Garamond" w:hAnsi="Garamond" w:cs="Lucida Sans"/>
                <w:i/>
                <w:szCs w:val="18"/>
                <w:lang w:val="pt-BR"/>
              </w:rPr>
              <w:t>.</w:t>
            </w:r>
          </w:p>
          <w:p w14:paraId="7E0362B5" w14:textId="6A0EA99E" w:rsidR="00995832" w:rsidRPr="00D178D7" w:rsidRDefault="00995832" w:rsidP="00A846F6">
            <w:pPr>
              <w:spacing w:after="120"/>
              <w:ind w:right="-2"/>
              <w:rPr>
                <w:rFonts w:ascii="Garamond" w:hAnsi="Garamond" w:cs="Lucida Sans"/>
                <w:i/>
                <w:szCs w:val="18"/>
                <w:lang w:val="pt-BR"/>
              </w:rPr>
            </w:pPr>
            <w:r w:rsidRPr="00D178D7">
              <w:rPr>
                <w:rFonts w:ascii="Garamond" w:hAnsi="Garamond" w:cs="Lucida Sans"/>
                <w:b/>
                <w:i/>
                <w:szCs w:val="18"/>
                <w:lang w:val="pt-BR"/>
              </w:rPr>
              <w:t>Keywords:</w:t>
            </w:r>
            <w:r w:rsidRPr="00D178D7">
              <w:rPr>
                <w:rFonts w:ascii="Garamond" w:hAnsi="Garamond" w:cs="Lucida Sans"/>
                <w:i/>
                <w:szCs w:val="18"/>
                <w:lang w:val="pt-BR"/>
              </w:rPr>
              <w:t xml:space="preserve"> </w:t>
            </w:r>
            <w:r w:rsidR="00340533" w:rsidRPr="00340533">
              <w:rPr>
                <w:rFonts w:ascii="Garamond" w:hAnsi="Garamond" w:cs="Lucida Sans"/>
                <w:i/>
                <w:szCs w:val="18"/>
                <w:lang w:val="pt-BR"/>
              </w:rPr>
              <w:t>Artificial intelligence</w:t>
            </w:r>
            <w:r w:rsidR="00340533">
              <w:rPr>
                <w:rFonts w:ascii="Garamond" w:hAnsi="Garamond" w:cs="Lucida Sans"/>
                <w:i/>
                <w:szCs w:val="18"/>
                <w:lang w:val="pt-BR"/>
              </w:rPr>
              <w:t xml:space="preserve">; </w:t>
            </w:r>
            <w:r w:rsidR="00340533" w:rsidRPr="00340533">
              <w:rPr>
                <w:rFonts w:ascii="Garamond" w:hAnsi="Garamond" w:cs="Lucida Sans"/>
                <w:i/>
                <w:szCs w:val="18"/>
                <w:lang w:val="pt-BR"/>
              </w:rPr>
              <w:t>digital learning</w:t>
            </w:r>
            <w:r w:rsidR="00340533">
              <w:rPr>
                <w:rFonts w:ascii="Garamond" w:hAnsi="Garamond" w:cs="Lucida Sans"/>
                <w:i/>
                <w:szCs w:val="18"/>
                <w:lang w:val="pt-BR"/>
              </w:rPr>
              <w:t>;</w:t>
            </w:r>
            <w:r w:rsidR="00340533" w:rsidRPr="00340533">
              <w:rPr>
                <w:rFonts w:ascii="Garamond" w:hAnsi="Garamond" w:cs="Lucida Sans"/>
                <w:i/>
                <w:szCs w:val="18"/>
                <w:lang w:val="pt-BR"/>
              </w:rPr>
              <w:t xml:space="preserve"> educational technology</w:t>
            </w:r>
          </w:p>
        </w:tc>
      </w:tr>
      <w:tr w:rsidR="00995832" w:rsidRPr="00C81D07" w14:paraId="6EEAB267" w14:textId="77777777" w:rsidTr="00995832">
        <w:tc>
          <w:tcPr>
            <w:tcW w:w="2518" w:type="dxa"/>
          </w:tcPr>
          <w:p w14:paraId="7A1BEC70" w14:textId="77777777" w:rsidR="00995832" w:rsidRPr="00C81D07" w:rsidRDefault="00995832" w:rsidP="00733B2E">
            <w:pPr>
              <w:ind w:right="-2"/>
              <w:rPr>
                <w:rFonts w:ascii="Garamond" w:hAnsi="Garamond" w:cs="Lucida Sans"/>
                <w:szCs w:val="18"/>
                <w:lang w:val="pt-BR"/>
              </w:rPr>
            </w:pPr>
          </w:p>
        </w:tc>
        <w:tc>
          <w:tcPr>
            <w:tcW w:w="6946" w:type="dxa"/>
          </w:tcPr>
          <w:p w14:paraId="1C4A7156" w14:textId="77777777" w:rsidR="00995832" w:rsidRPr="00C81D07" w:rsidRDefault="00995832" w:rsidP="00733B2E">
            <w:pPr>
              <w:ind w:right="-2"/>
              <w:rPr>
                <w:rFonts w:ascii="Garamond" w:hAnsi="Garamond" w:cs="Lucida Sans"/>
                <w:szCs w:val="18"/>
                <w:lang w:val="pt-BR"/>
              </w:rPr>
            </w:pPr>
          </w:p>
        </w:tc>
      </w:tr>
      <w:tr w:rsidR="00995832" w:rsidRPr="00C81D07" w14:paraId="67C555AD" w14:textId="77777777" w:rsidTr="005F1B0A">
        <w:tc>
          <w:tcPr>
            <w:tcW w:w="2518" w:type="dxa"/>
          </w:tcPr>
          <w:p w14:paraId="3CCB022B" w14:textId="77777777" w:rsidR="00995832" w:rsidRPr="00C81D07" w:rsidRDefault="00995832" w:rsidP="00733B2E">
            <w:pPr>
              <w:ind w:right="-2"/>
              <w:rPr>
                <w:rFonts w:ascii="Garamond" w:hAnsi="Garamond" w:cs="Lucida Sans"/>
                <w:szCs w:val="18"/>
                <w:lang w:val="pt-BR"/>
              </w:rPr>
            </w:pPr>
          </w:p>
        </w:tc>
        <w:tc>
          <w:tcPr>
            <w:tcW w:w="6946" w:type="dxa"/>
            <w:shd w:val="clear" w:color="auto" w:fill="95B3D7" w:themeFill="accent1" w:themeFillTint="99"/>
          </w:tcPr>
          <w:p w14:paraId="531F0310" w14:textId="77777777" w:rsidR="00995832" w:rsidRPr="00C81D07" w:rsidRDefault="00D178D7" w:rsidP="00733B2E">
            <w:pPr>
              <w:ind w:right="-2"/>
              <w:rPr>
                <w:rFonts w:ascii="Garamond" w:hAnsi="Garamond" w:cs="Lucida Sans"/>
                <w:b/>
                <w:szCs w:val="18"/>
                <w:lang w:val="pt-BR"/>
              </w:rPr>
            </w:pPr>
            <w:r w:rsidRPr="00C81D07">
              <w:rPr>
                <w:rFonts w:ascii="Garamond" w:hAnsi="Garamond" w:cs="Lucida Sans"/>
                <w:b/>
                <w:szCs w:val="18"/>
                <w:lang w:val="pt-BR"/>
              </w:rPr>
              <w:t>Abstrak</w:t>
            </w:r>
          </w:p>
        </w:tc>
      </w:tr>
      <w:tr w:rsidR="00995832" w:rsidRPr="00C81D07" w14:paraId="39FCB653" w14:textId="77777777" w:rsidTr="005F1B0A">
        <w:tc>
          <w:tcPr>
            <w:tcW w:w="2518" w:type="dxa"/>
            <w:vAlign w:val="bottom"/>
          </w:tcPr>
          <w:p w14:paraId="1874B806" w14:textId="77777777" w:rsidR="00995832" w:rsidRPr="00C81D07" w:rsidRDefault="00995832" w:rsidP="00733B2E">
            <w:pPr>
              <w:ind w:right="-2"/>
              <w:jc w:val="right"/>
              <w:rPr>
                <w:rFonts w:ascii="Garamond" w:hAnsi="Garamond" w:cs="Lucida Sans"/>
                <w:b/>
                <w:color w:val="215868" w:themeColor="accent5" w:themeShade="80"/>
                <w:szCs w:val="18"/>
                <w:lang w:val="pt-BR"/>
              </w:rPr>
            </w:pPr>
            <w:r w:rsidRPr="00C81D07">
              <w:rPr>
                <w:rFonts w:ascii="Garamond" w:hAnsi="Garamond" w:cs="Lucida Sans"/>
                <w:b/>
                <w:color w:val="215868" w:themeColor="accent5" w:themeShade="80"/>
                <w:szCs w:val="18"/>
                <w:lang w:val="pt-BR"/>
              </w:rPr>
              <w:t>Article History:</w:t>
            </w:r>
          </w:p>
          <w:p w14:paraId="50C4806A" w14:textId="02A79957" w:rsidR="00995832" w:rsidRDefault="00995832" w:rsidP="00733B2E">
            <w:pPr>
              <w:ind w:right="-2"/>
              <w:jc w:val="right"/>
              <w:rPr>
                <w:rFonts w:ascii="Garamond" w:hAnsi="Garamond" w:cs="Lucida Sans"/>
                <w:szCs w:val="18"/>
                <w:lang w:val="pt-BR"/>
              </w:rPr>
            </w:pPr>
            <w:r w:rsidRPr="00C81D07">
              <w:rPr>
                <w:rFonts w:ascii="Garamond" w:hAnsi="Garamond" w:cs="Lucida Sans"/>
                <w:szCs w:val="18"/>
                <w:lang w:val="pt-BR"/>
              </w:rPr>
              <w:t xml:space="preserve">Received </w:t>
            </w:r>
            <w:r w:rsidR="00AD74F5" w:rsidRPr="00AD74F5">
              <w:rPr>
                <w:rFonts w:ascii="Garamond" w:hAnsi="Garamond" w:cs="Lucida Sans"/>
                <w:szCs w:val="18"/>
                <w:lang w:val="pt-BR"/>
              </w:rPr>
              <w:t>2023-06-20</w:t>
            </w:r>
          </w:p>
          <w:p w14:paraId="1D7F523A" w14:textId="07BCC972" w:rsidR="00022CF6" w:rsidRPr="00C81D07" w:rsidRDefault="00022CF6" w:rsidP="00733B2E">
            <w:pPr>
              <w:ind w:right="-2"/>
              <w:jc w:val="right"/>
              <w:rPr>
                <w:rFonts w:ascii="Garamond" w:hAnsi="Garamond" w:cs="Lucida Sans"/>
                <w:szCs w:val="18"/>
                <w:lang w:val="pt-BR"/>
              </w:rPr>
            </w:pPr>
            <w:r>
              <w:rPr>
                <w:rFonts w:ascii="Garamond" w:hAnsi="Garamond" w:cs="Lucida Sans"/>
                <w:szCs w:val="18"/>
                <w:lang w:val="pt-BR"/>
              </w:rPr>
              <w:t xml:space="preserve">Revised </w:t>
            </w:r>
            <w:r w:rsidR="00AD74F5">
              <w:rPr>
                <w:rFonts w:ascii="Garamond" w:hAnsi="Garamond" w:cs="Lucida Sans"/>
                <w:szCs w:val="18"/>
                <w:lang w:val="pt-BR"/>
              </w:rPr>
              <w:t>2023-08</w:t>
            </w:r>
            <w:r w:rsidR="00AD74F5" w:rsidRPr="00AD74F5">
              <w:rPr>
                <w:rFonts w:ascii="Garamond" w:hAnsi="Garamond" w:cs="Lucida Sans"/>
                <w:szCs w:val="18"/>
                <w:lang w:val="pt-BR"/>
              </w:rPr>
              <w:t>-2</w:t>
            </w:r>
            <w:r w:rsidR="00AD74F5">
              <w:rPr>
                <w:rFonts w:ascii="Garamond" w:hAnsi="Garamond" w:cs="Lucida Sans"/>
                <w:szCs w:val="18"/>
                <w:lang w:val="pt-BR"/>
              </w:rPr>
              <w:t>9</w:t>
            </w:r>
          </w:p>
          <w:p w14:paraId="38824E3E" w14:textId="5DBE6072" w:rsidR="00995832" w:rsidRPr="00C81D07" w:rsidRDefault="00995832" w:rsidP="00733B2E">
            <w:pPr>
              <w:ind w:right="-2"/>
              <w:jc w:val="right"/>
              <w:rPr>
                <w:rFonts w:ascii="Garamond" w:hAnsi="Garamond" w:cs="Lucida Sans"/>
                <w:szCs w:val="18"/>
                <w:lang w:val="pt-BR"/>
              </w:rPr>
            </w:pPr>
            <w:r w:rsidRPr="00C81D07">
              <w:rPr>
                <w:rFonts w:ascii="Garamond" w:hAnsi="Garamond" w:cs="Lucida Sans"/>
                <w:szCs w:val="18"/>
                <w:lang w:val="pt-BR"/>
              </w:rPr>
              <w:t xml:space="preserve">Accepted </w:t>
            </w:r>
            <w:r w:rsidR="00AD74F5">
              <w:rPr>
                <w:rFonts w:ascii="Garamond" w:hAnsi="Garamond" w:cs="Lucida Sans"/>
                <w:szCs w:val="18"/>
                <w:lang w:val="pt-BR"/>
              </w:rPr>
              <w:t>2023-09-13</w:t>
            </w:r>
          </w:p>
          <w:p w14:paraId="7A006BD3" w14:textId="77777777" w:rsidR="00995832" w:rsidRPr="00C81D07" w:rsidRDefault="00995832" w:rsidP="00733B2E">
            <w:pPr>
              <w:ind w:right="-2"/>
              <w:jc w:val="right"/>
              <w:rPr>
                <w:rFonts w:ascii="Garamond" w:hAnsi="Garamond" w:cs="Lucida Sans"/>
                <w:szCs w:val="18"/>
                <w:lang w:val="pt-BR"/>
              </w:rPr>
            </w:pPr>
          </w:p>
          <w:p w14:paraId="7D356C8B" w14:textId="77777777" w:rsidR="00995832" w:rsidRPr="00C81D07" w:rsidRDefault="00995832" w:rsidP="00733B2E">
            <w:pPr>
              <w:ind w:right="-2"/>
              <w:jc w:val="right"/>
              <w:rPr>
                <w:rFonts w:ascii="Garamond" w:hAnsi="Garamond" w:cs="Lucida Sans"/>
                <w:szCs w:val="18"/>
                <w:lang w:val="pt-BR"/>
              </w:rPr>
            </w:pPr>
          </w:p>
          <w:p w14:paraId="05920A1C" w14:textId="77777777" w:rsidR="00995832" w:rsidRPr="00C81D07" w:rsidRDefault="00995832" w:rsidP="00733B2E">
            <w:pPr>
              <w:ind w:right="-2"/>
              <w:jc w:val="right"/>
              <w:rPr>
                <w:rFonts w:ascii="Garamond" w:hAnsi="Garamond" w:cs="Lucida Sans"/>
                <w:b/>
                <w:color w:val="215868" w:themeColor="accent5" w:themeShade="80"/>
                <w:szCs w:val="18"/>
                <w:lang w:val="pt-BR"/>
              </w:rPr>
            </w:pPr>
            <w:r w:rsidRPr="00C81D07">
              <w:rPr>
                <w:rFonts w:ascii="Garamond" w:hAnsi="Garamond" w:cs="Lucida Sans"/>
                <w:b/>
                <w:color w:val="215868" w:themeColor="accent5" w:themeShade="80"/>
                <w:szCs w:val="18"/>
                <w:lang w:val="pt-BR"/>
              </w:rPr>
              <w:t>DOI:</w:t>
            </w:r>
          </w:p>
          <w:p w14:paraId="4E9A8027" w14:textId="7EDDBAB4" w:rsidR="00995832" w:rsidRDefault="00FE3209" w:rsidP="00733B2E">
            <w:pPr>
              <w:ind w:right="-2"/>
              <w:jc w:val="right"/>
              <w:rPr>
                <w:rFonts w:ascii="Garamond" w:hAnsi="Garamond" w:cs="Lucida Sans"/>
                <w:szCs w:val="18"/>
                <w:lang w:val="pt-BR"/>
              </w:rPr>
            </w:pPr>
            <w:r w:rsidRPr="00FE3209">
              <w:rPr>
                <w:rFonts w:ascii="Garamond" w:hAnsi="Garamond" w:cs="Lucida Sans"/>
                <w:szCs w:val="18"/>
                <w:lang w:val="pt-BR"/>
              </w:rPr>
              <w:t>10.31949/educatio.v</w:t>
            </w:r>
            <w:r w:rsidR="00AD74F5">
              <w:rPr>
                <w:rFonts w:ascii="Garamond" w:hAnsi="Garamond" w:cs="Lucida Sans"/>
                <w:szCs w:val="18"/>
                <w:lang w:val="pt-BR"/>
              </w:rPr>
              <w:t>9</w:t>
            </w:r>
            <w:r w:rsidRPr="00FE3209">
              <w:rPr>
                <w:rFonts w:ascii="Garamond" w:hAnsi="Garamond" w:cs="Lucida Sans"/>
                <w:szCs w:val="18"/>
                <w:lang w:val="pt-BR"/>
              </w:rPr>
              <w:t>i</w:t>
            </w:r>
            <w:r w:rsidR="00AD74F5">
              <w:rPr>
                <w:rFonts w:ascii="Garamond" w:hAnsi="Garamond" w:cs="Lucida Sans"/>
                <w:szCs w:val="18"/>
                <w:lang w:val="pt-BR"/>
              </w:rPr>
              <w:t>3</w:t>
            </w:r>
            <w:r w:rsidRPr="00FE3209">
              <w:rPr>
                <w:rFonts w:ascii="Garamond" w:hAnsi="Garamond" w:cs="Lucida Sans"/>
                <w:szCs w:val="18"/>
                <w:lang w:val="pt-BR"/>
              </w:rPr>
              <w:t>.</w:t>
            </w:r>
            <w:r w:rsidR="00AD74F5">
              <w:rPr>
                <w:rFonts w:ascii="Garamond" w:hAnsi="Garamond" w:cs="Lucida Sans"/>
                <w:szCs w:val="18"/>
                <w:lang w:val="pt-BR"/>
              </w:rPr>
              <w:t>5761</w:t>
            </w:r>
          </w:p>
          <w:p w14:paraId="183349E9" w14:textId="77777777" w:rsidR="00A846F6" w:rsidRPr="00C81D07" w:rsidRDefault="00A846F6" w:rsidP="00733B2E">
            <w:pPr>
              <w:ind w:right="-2"/>
              <w:jc w:val="right"/>
              <w:rPr>
                <w:rFonts w:ascii="Garamond" w:hAnsi="Garamond" w:cs="Lucida Sans"/>
                <w:szCs w:val="18"/>
                <w:lang w:val="pt-BR"/>
              </w:rPr>
            </w:pPr>
          </w:p>
        </w:tc>
        <w:tc>
          <w:tcPr>
            <w:tcW w:w="6946" w:type="dxa"/>
            <w:shd w:val="clear" w:color="auto" w:fill="DBE5F1" w:themeFill="accent1" w:themeFillTint="33"/>
          </w:tcPr>
          <w:p w14:paraId="02A73F26" w14:textId="16BD1E5B" w:rsidR="00995832" w:rsidRPr="00C81D07" w:rsidRDefault="00340533" w:rsidP="00995832">
            <w:pPr>
              <w:ind w:right="-2"/>
              <w:jc w:val="both"/>
              <w:rPr>
                <w:rFonts w:ascii="Garamond" w:hAnsi="Garamond" w:cs="Lucida Sans"/>
                <w:szCs w:val="18"/>
                <w:lang w:val="pt-BR"/>
              </w:rPr>
            </w:pPr>
            <w:r w:rsidRPr="00340533">
              <w:rPr>
                <w:rFonts w:ascii="Garamond" w:hAnsi="Garamond" w:cs="Lucida Sans"/>
                <w:szCs w:val="18"/>
                <w:lang w:val="pt-BR"/>
              </w:rPr>
              <w:t>Penggunaan Kecerdasan Buatan (AI) dalam konteks pembelajaran digital telah menjadi tren dalam pendidikan modern. Penelitian ini bertujuan untuk menggambarkan implikasi penggunaan AI terhadap motivasi belajar siswa. Motivasi belajar siswa merupakan faktor kunci dalam meningkatkan pencapaian akademik dan pengembangan diri. Dengan memanfaatkan teknologi AI dalam proses pembelajaran, kita dapat mengidentifikasi peran AI dalam meningkatkan motivasi belajar siswa. Dengan menggunakan metode gabungan (kualitatif dan kuantitatif), penelitian ini melibatkan survei (kuisioner) dan analisis data dari berbagai sumber literatur yang relevan. Hasil penelitian menunjukkan bahwa AI dapat berkontribusi secara positif terhadap motivasi belajar siswa melalui beberapa cara. Pertama, AI dapat menyediakan umpan balik personalisasi yang membantu siswa memahami kemajuan mereka secara lebih baik. Kedua, AI dapat merancang pengalaman pembelajaran yang disesuaikan dengan gaya belajar individu, sehingga meningkatkan minat dan keterlibatan siswa dalam pembelajaran. Ketiga, AI dapat mengidentifikasi kesulitan belajar siswa dan menyediakan bantuan tambahan secara real-time, sehingga mengurangi frustrasi siswa dan meningkatkan motivasi mereka untuk mengatasi tantangan. Namun, penelitian ini juga mengidentifikasi beberapa tantangan yang perlu diatasi dalam penggunaan AI dalam pembelajaran digital. Salah satunya adalah masalah privasi dan keamanan data siswa yang harus dikelola dengan cermat. Selain itu, pengembangan dan implementasi teknologi AI dalam konteks pendidikan memerlukan investasi yang signifikan dalam pelatihan guru dan infrastruktur teknologi. Dengan demikian, penelitian ini menyoroti pentingnya mengintegrasikan AI dengan bijak dalam pendidikan dan menekankan perlunya perhatian terhadap aspek-aspek etis dan prakti</w:t>
            </w:r>
            <w:r>
              <w:rPr>
                <w:rFonts w:ascii="Garamond" w:hAnsi="Garamond" w:cs="Lucida Sans"/>
                <w:szCs w:val="18"/>
                <w:lang w:val="pt-BR"/>
              </w:rPr>
              <w:t>s</w:t>
            </w:r>
            <w:r w:rsidR="008E3DA1" w:rsidRPr="008E3DA1">
              <w:rPr>
                <w:rFonts w:ascii="Garamond" w:hAnsi="Garamond" w:cs="Lucida Sans"/>
                <w:szCs w:val="18"/>
                <w:lang w:val="pt-BR"/>
              </w:rPr>
              <w:t>.</w:t>
            </w:r>
          </w:p>
          <w:p w14:paraId="652E3D90" w14:textId="04DB8115" w:rsidR="00995832" w:rsidRPr="00C81D07" w:rsidRDefault="00995832" w:rsidP="00A846F6">
            <w:pPr>
              <w:spacing w:after="120"/>
              <w:ind w:right="-2"/>
              <w:rPr>
                <w:rFonts w:ascii="Garamond" w:hAnsi="Garamond" w:cs="Lucida Sans"/>
                <w:b/>
                <w:szCs w:val="18"/>
                <w:lang w:val="pt-BR"/>
              </w:rPr>
            </w:pPr>
            <w:r w:rsidRPr="00C81D07">
              <w:rPr>
                <w:rFonts w:ascii="Garamond" w:hAnsi="Garamond" w:cs="Lucida Sans"/>
                <w:b/>
                <w:szCs w:val="18"/>
                <w:lang w:val="pt-BR"/>
              </w:rPr>
              <w:t xml:space="preserve">Kata Kunci: </w:t>
            </w:r>
            <w:r w:rsidR="00340533" w:rsidRPr="00340533">
              <w:rPr>
                <w:rFonts w:ascii="Garamond" w:hAnsi="Garamond" w:cs="Lucida Sans"/>
                <w:szCs w:val="18"/>
                <w:lang w:val="pt-BR"/>
              </w:rPr>
              <w:t>Kecerdasan buatan</w:t>
            </w:r>
            <w:r w:rsidR="00340533">
              <w:rPr>
                <w:rFonts w:ascii="Garamond" w:hAnsi="Garamond" w:cs="Lucida Sans"/>
                <w:szCs w:val="18"/>
                <w:lang w:val="pt-BR"/>
              </w:rPr>
              <w:t xml:space="preserve">; </w:t>
            </w:r>
            <w:r w:rsidR="00340533" w:rsidRPr="00340533">
              <w:rPr>
                <w:rFonts w:ascii="Garamond" w:hAnsi="Garamond" w:cs="Lucida Sans"/>
                <w:szCs w:val="18"/>
                <w:lang w:val="pt-BR"/>
              </w:rPr>
              <w:t>pembelajaran digital</w:t>
            </w:r>
            <w:r w:rsidR="00340533">
              <w:rPr>
                <w:rFonts w:ascii="Garamond" w:hAnsi="Garamond" w:cs="Lucida Sans"/>
                <w:szCs w:val="18"/>
                <w:lang w:val="pt-BR"/>
              </w:rPr>
              <w:t xml:space="preserve">; </w:t>
            </w:r>
            <w:r w:rsidR="00340533" w:rsidRPr="00340533">
              <w:rPr>
                <w:rFonts w:ascii="Garamond" w:hAnsi="Garamond" w:cs="Lucida Sans"/>
                <w:szCs w:val="18"/>
                <w:lang w:val="pt-BR"/>
              </w:rPr>
              <w:t>teknologi pembelajaran</w:t>
            </w:r>
          </w:p>
        </w:tc>
      </w:tr>
    </w:tbl>
    <w:p w14:paraId="51CAF825" w14:textId="77777777" w:rsidR="00995832" w:rsidRPr="005F1B0A" w:rsidRDefault="00995832" w:rsidP="00D14BE6">
      <w:pPr>
        <w:pStyle w:val="Heading1"/>
        <w:spacing w:after="120" w:line="240" w:lineRule="auto"/>
        <w:jc w:val="left"/>
        <w:rPr>
          <w:rFonts w:ascii="Garamond" w:hAnsi="Garamond" w:cs="Lucida Sans"/>
          <w:caps/>
          <w:color w:val="244061" w:themeColor="accent1" w:themeShade="80"/>
          <w:sz w:val="22"/>
          <w:szCs w:val="22"/>
        </w:rPr>
      </w:pPr>
      <w:bookmarkStart w:id="0" w:name="_GoBack"/>
      <w:bookmarkEnd w:id="0"/>
      <w:r w:rsidRPr="005F1B0A">
        <w:rPr>
          <w:rFonts w:ascii="Garamond" w:hAnsi="Garamond" w:cs="Lucida Sans"/>
          <w:color w:val="244061" w:themeColor="accent1" w:themeShade="80"/>
          <w:sz w:val="22"/>
          <w:szCs w:val="22"/>
        </w:rPr>
        <w:lastRenderedPageBreak/>
        <w:t>PENDAHULUAN</w:t>
      </w:r>
    </w:p>
    <w:p w14:paraId="68B90355" w14:textId="2804764E" w:rsidR="00340533" w:rsidRPr="00340533" w:rsidRDefault="00340533" w:rsidP="00336BA2">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eastAsia="zh-CN"/>
        </w:rPr>
      </w:pPr>
      <w:r>
        <w:rPr>
          <w:rFonts w:ascii="Garamond" w:eastAsia="Times New Roman" w:hAnsi="Garamond" w:cs="Times New Roman"/>
          <w:color w:val="000000"/>
          <w:lang w:val="id-ID" w:eastAsia="zh-CN"/>
        </w:rPr>
        <w:tab/>
      </w:r>
      <w:r>
        <w:rPr>
          <w:rFonts w:ascii="Garamond" w:eastAsia="Times New Roman" w:hAnsi="Garamond" w:cs="Times New Roman"/>
          <w:color w:val="000000"/>
          <w:lang w:val="id-ID" w:eastAsia="zh-CN"/>
        </w:rPr>
        <w:tab/>
      </w:r>
      <w:r w:rsidRPr="00340533">
        <w:rPr>
          <w:rFonts w:ascii="Garamond" w:eastAsia="Times New Roman" w:hAnsi="Garamond" w:cs="Times New Roman"/>
          <w:color w:val="000000"/>
          <w:lang w:val="id-ID" w:eastAsia="zh-CN"/>
        </w:rPr>
        <w:t>Pendidikan adalah salah satu pilar penting dalam perkembangan manusia, dan dalam era digital yang terus berkembang, perubahan mendasar terjadi dalam cara kita belajar dan mengajar. Teknologi telah menjadi bagian tak terpisahkan dari ruang kelas, dan salah satu terobosan paling signifikan dalam konteks pendidikan digital adalah penggunaan Kecerdasan Buatan (AI)</w:t>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{"citationItems":[{"id":"ITEM-1","itemData":{"author":[{"dropping-particle":"","family":"Pelenkahu","given":"Noldy","non-dropping-particle":"","parse-names":false,"suffix":""},{"dropping-particle":"","family":"Ali","given":"Muhammad Ilham","non-dropping-particle":"","parse-names":false,"suffix":""},{"dropping-particle":"","family":"Tatipang","given":"Devilito Prasetyo","non-dropping-particle":"","parse-names":false,"suffix":""}],"id":"ITEM-1","issued":{"date-parts":[["2023"]]},"publisher":"Penerbit Lakeisha","title":"Curriculum Development","type":"book"},"uris":["http://www.mendeley.com/documents/?uuid=d4ca6bfb-9d28-454f-8915-934647df15d0"]}],"mendeley":{"formattedCitation":"(Pelenkahu et al., 2023)","plainTextFormattedCitation":"(Pelenkahu et al., 2023)","previouslyFormattedCitation":"(Pelenkahu et al., 2023)"},"properties":{"noteIndex":0},"schema":"https://github.com/citation-style-language/schema/raw/master/csl-citation.json"}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(Pelenkahu et al., 2023)</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FF6B7E">
        <w:rPr>
          <w:rFonts w:ascii="Garamond" w:eastAsia="Times New Roman" w:hAnsi="Garamond" w:cs="Times New Roman"/>
          <w:color w:val="000000"/>
          <w:lang w:eastAsia="zh-CN"/>
        </w:rPr>
        <w:instrText>ADDIN CSL_CITATION {"citationItems":[{"id":"ITEM-1","itemData":{"DOI":"10.1145/3465631.3465844","ISBN":"9781450385015","abstract":"Artificial intelligence is changing people's traditional concepts, thinking and lifestyle, and improving human knowledge and education. It is not only the commanding height of information technology today, but also a research hotspot in the field of education technology. The purpose of applying artificial intelligence to the exploratory thinking in college English teaching is to optimize the college English teaching model and teaching effect. Using this system in teaching practice, students are placed in an intelligent, contextual and humanized language learning environment. After introducing the concept of artificial intelligence, it analyzes the main current situation of college English teaching, and then proposes innovations in college English teaching under artificial intelligence conditions.","author":[{"dropping-particle":"","family":"Wang","given":"Xiaohua","non-dropping-particle":"","parse-names":false,"suffix":""}],"container-title":"ACM International Conference Proceeding Series","id":"ITEM-1","issued":{"date-parts":[["2021","8","19"]]},"publisher":"Association for Computing Machinery","title":"College english teaching innovation under artificial intelligence","type":"article-journal"},"uris":["http://www.mendeley.com/documents/?uuid=6d2b275f-5274-32f8-be8f-a6ce38ee8651"]}],"mendeley":{"formattedCitation":"(X. Wang, 2021)","manualFormatting":"(Wang, 2021)","plainTextFormattedCitation":"(X. Wang, 2021)","previouslyFormattedCitation":"(Wang, 2021)"},"properties":{"noteIndex":0},"schema":"https://github.com/citation-style-language/schema/raw/master/csl-citation.json"}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(Wang, 2021)</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{"citationItems":[{"id":"ITEM-1","itemData":{"DOI":"10.18844/cjes.v16i5.6347","ISSN":"EISSN-1305-905X","abstract":"With the progression of economic globalisation, China's expectations about the quality of English teaching in the country have increased, and because of the restrictive drawbacks of orthodox English teaching models, they cannot meet these requirements. The emergence of artificial intelligence (AI) technology can create new opportunities for the optimisation of English teaching. As such, this study aims to systematically review and analyse the current research on the innovations afforded by AI for China's English teaching model, especially the application of AI in unquiesced English teaching. The descriptive-analytical approach is used to study and analyse the literature. The research results highlight evidence of success cases, illustrating that the implementation of AI in English teaching in China can provide new ideas and create new spaces for the innovation of teaching models.","author":[{"dropping-particle":"","family":"Xu","given":"Bingbing","non-dropping-particle":"","parse-names":false,"suffix":""},{"dropping-particle":"","family":"Margevica-Grinberga","given":"Ieva","non-dropping-particle":"","parse-names":false,"suffix":""}],"container-title":"Cypriot Journal of Educational Sciences","id":"ITEM-1","issue":"5","issued":{"date-parts":[["2021"]]},"page":"2313-2323","publisher":"Birlesik Dunya Yenilik Arastirma ve Yayincilik Merkezi. Sht. Ilmiye Sakir Sokak, No: 9, Ortakoy, Lefkosa, 2681, Cyprus. e-mail: editor.cjes@gmail.com; Web site: http://www.cjes.eu/","title":"A Discourse on Innovation of English Teaching in China from the Perspective of Artificial Intelligence.","type":"article-journal","volume":"16"},"uris":["http://www.mendeley.com/documents/?uuid=61da4ee3-1528-3801-b5aa-ffa72c8f445c"]}],"mendeley":{"formattedCitation":"(Xu &amp; Margevica-Grinberga, 2021)","plainTextFormattedCitation":"(Xu &amp; Margevica-Grinberga, 2021)","previouslyFormattedCitation":"(Xu &amp; Margevica-Grinberga, 2021)"},"properties":{"noteIndex":0},"schema":"https://github.com/citation-style-language/schema/raw/master/csl-citation.json"}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(Xu &amp; Margevica-Grinberga, 2021)</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val="id-ID" w:eastAsia="zh-CN"/>
        </w:rPr>
        <w:t>. AI adalah bidang teknologi yang memungkinkan komputer untuk belajar, berpikir, dan bertindak seperti manusia. Dalam konteks pendidikan, AI telah membuka pintu untuk berbagai kemungkinan baru yang dapat mengubah cara kita mengelola dan mengalami pembelajaran</w:t>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{"citationItems":[{"id":"ITEM-1","itemData":{"DOI":"10.1007/S40593-022-00326-X/TABLES/8","ISSN":"15604306","abstract":"Personalized gamification aims to address shortcomings of the one-size-fits-all (OSFA) approach in improving students’ motivations throughout the learning process. However, studies still focus on personalizing to a single user dimension, ignoring multiple individual and contextual factors that affect user motivation. Unlike prior research, we address this issue by exploring multidimensional personalization compared to OSFA based on a multi-institution sample. Thus, we conducted a controlled experiment in three institutions, comparing gamification designs (OSFA and Personalized to the learning task and users’ gaming habits/preferences and demographics) in terms of 58 students’ motivations to complete assessments for learning. Our results suggest no significant differences among OSFA and Personalized designs, despite suggesting user motivation depended on fewer user characteristics when using personalization. Additionally, exploratory analyses suggest personalization was positive for females and those holding a technical degree, but negative for those who prefer adventure games and those who prefer single-playing. Our contribution benefits designers, suggesting how personalization works; practitioners, demonstrating to whom the personalization strategy was more or less suitable; and researchers, providing future research directions.","author":[{"dropping-particle":"","family":"Rodrigues","given":"Luiz","non-dropping-particle":"","parse-names":false,"suffix":""},{"dropping-particle":"","family":"Palomino","given":"Paula T.","non-dropping-particle":"","parse-names":false,"suffix":""},{"dropping-particle":"","family":"Toda","given":"Armando M.","non-dropping-particle":"","parse-names":false,"suffix":""},{"dropping-particle":"","family":"Klock","given":"Ana C.T.","non-dropping-particle":"","parse-names":false,"suffix":""},{"dropping-particle":"","family":"Pessoa","given":"Marcela","non-dropping-particle":"","parse-names":false,"suffix":""},{"dropping-particle":"","family":"Pereira","given":"Filipe D.","non-dropping-particle":"","parse-names":false,"suffix":""},{"dropping-particle":"","family":"Oliveira","given":"Elaine H.T.","non-dropping-particle":"","parse-names":false,"suffix":""},{"dropping-particle":"","family":"Oliveira","given":"David F.","non-dropping-particle":"","parse-names":false,"suffix":""},{"dropping-particle":"","family":"Cristea","given":"Alexandra I.","non-dropping-particle":"","parse-names":false,"suffix":""},{"dropping-particle":"","family":"Gasparini","given":"Isabela","non-dropping-particle":"","parse-names":false,"suffix":""},{"dropping-particle":"","family":"Isotani","given":"Seiji","non-dropping-particle":"","parse-names":false,"suffix":""}],"container-title":"International Journal of Artificial Intelligence in Education","id":"ITEM-1","issued":{"date-parts":[["2023","1","10"]]},"page":"1-38","publisher":"Springer","title":"How Personalization Affects Motivation in Gamified Review Assessments","type":"article-journal"},"uris":["http://www.mendeley.com/documents/?uuid=c07287f5-d219-3bb1-be69-68821f0844f3"]}],"mendeley":{"formattedCitation":"(Rodrigues et al., 2023)","plainTextFormattedCitation":"(Rodrigues et al., 2023)","previouslyFormattedCitation":"(Rodrigues et al., 2023)"},"properties":{"noteIndex":0},"schema":"https://github.com/citation-style-language/schema/raw/master/csl-citation.json"}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(Rodrigues et al., 2023)</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val="id-ID" w:eastAsia="zh-CN"/>
        </w:rPr>
        <w:t>.</w:t>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val="id-ID" w:eastAsia="zh-CN"/>
        </w:rPr>
        <w:t>Berbagai sektor industri menyaksikan dampak gila (</w:t>
      </w:r>
      <w:r w:rsidRPr="00340533">
        <w:rPr>
          <w:rFonts w:ascii="Garamond" w:eastAsia="Times New Roman" w:hAnsi="Garamond" w:cs="Times New Roman"/>
          <w:color w:val="000000"/>
          <w:lang w:eastAsia="zh-CN"/>
        </w:rPr>
        <w:t>dari sudut pandang yang positif</w:t>
      </w:r>
      <w:r w:rsidRPr="00340533">
        <w:rPr>
          <w:rFonts w:ascii="Garamond" w:eastAsia="Times New Roman" w:hAnsi="Garamond" w:cs="Times New Roman"/>
          <w:color w:val="000000"/>
          <w:lang w:val="id-ID" w:eastAsia="zh-CN"/>
        </w:rPr>
        <w:t xml:space="preserve">) dari Artificial Intelligence (AI) sebagai teknologi yang kuat. Ini juga berlaku untuk sektor pendidikan di seluruh dunia. Ada berbagai lembaga pendidikan di seluruh dunia yang memanfaatkan </w:t>
      </w:r>
      <w:r w:rsidRPr="00340533">
        <w:rPr>
          <w:rFonts w:ascii="Garamond" w:eastAsia="Times New Roman" w:hAnsi="Garamond" w:cs="Times New Roman"/>
          <w:color w:val="000000"/>
          <w:lang w:eastAsia="zh-CN"/>
        </w:rPr>
        <w:t>k</w:t>
      </w:r>
      <w:r w:rsidRPr="00340533">
        <w:rPr>
          <w:rFonts w:ascii="Garamond" w:eastAsia="Times New Roman" w:hAnsi="Garamond" w:cs="Times New Roman"/>
          <w:color w:val="000000"/>
          <w:lang w:val="id-ID" w:eastAsia="zh-CN"/>
        </w:rPr>
        <w:t xml:space="preserve">ecerdasan </w:t>
      </w:r>
      <w:r w:rsidRPr="00340533">
        <w:rPr>
          <w:rFonts w:ascii="Garamond" w:eastAsia="Times New Roman" w:hAnsi="Garamond" w:cs="Times New Roman"/>
          <w:color w:val="000000"/>
          <w:lang w:eastAsia="zh-CN"/>
        </w:rPr>
        <w:t>b</w:t>
      </w:r>
      <w:r w:rsidRPr="00340533">
        <w:rPr>
          <w:rFonts w:ascii="Garamond" w:eastAsia="Times New Roman" w:hAnsi="Garamond" w:cs="Times New Roman"/>
          <w:color w:val="000000"/>
          <w:lang w:val="id-ID" w:eastAsia="zh-CN"/>
        </w:rPr>
        <w:t xml:space="preserve">uatan untuk tujuan yang berbeda. Siswa, guru, orang tua, dan tentu saja lembaga pendidikan itu sendiri, sekarang melihat pendidikan dari perspektif yang sama sekali berbeda sebagai hasil dari Kecerdasan Buatan. Akibatnya, solusi </w:t>
      </w:r>
      <w:r w:rsidRPr="00340533">
        <w:rPr>
          <w:rFonts w:ascii="Garamond" w:eastAsia="Times New Roman" w:hAnsi="Garamond" w:cs="Times New Roman"/>
          <w:color w:val="000000"/>
          <w:lang w:eastAsia="zh-CN"/>
        </w:rPr>
        <w:t>pembelajaran digital</w:t>
      </w:r>
      <w:r w:rsidRPr="00340533">
        <w:rPr>
          <w:rFonts w:ascii="Garamond" w:eastAsia="Times New Roman" w:hAnsi="Garamond" w:cs="Times New Roman"/>
          <w:color w:val="000000"/>
          <w:lang w:val="id-ID" w:eastAsia="zh-CN"/>
        </w:rPr>
        <w:t xml:space="preserve"> khusus yang dikembangkan dengan integrasi Kecerdasan Buatan juga mendapatkan daya tarik</w:t>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{"citationItems":[{"id":"ITEM-1","itemData":{"DOI":"10.1111/COIN.12351","ISSN":"1467-8640","abstract":"Artificial intelligence education (AIEd) is defined in the field of education as the utilization of artificial intelligence. There are currently many AIEd-driven applications in schools and universities. This paper applies an artificial intelligence module combined with the knowledge recommendation to the system and develops an online English teaching system in comparison with the common teaching auxiliary system. The method of English teaching is useful in investigating the potential internal connections between evaluation outcomes and various factors. This article develops deep learning-assisted online intelligent English teaching system that utilizes to create a modern tool platform to help students improve their English language teaching efficiency in line with their mastery of knowledge and personality. The decision tree algorithm and neural networks have been used and to generate an English teaching assessment implementation model based on decision tree technologies. It provides valuable data from extensive information, summarizes rules and data, and helps teachers to improve their education and the English scores of students. This system reflects the thinking of the artificial intelligence expert system. Test application demonstrates that the system can help students improve their learning efficiency and will make learning content more relevant. Besides, the system provides an example model with similar methods and has a referential definition.","author":[{"dropping-particle":"","family":"Sun","given":"Zhuomin","non-dropping-particle":"","parse-names":false,"suffix":""},{"dropping-particle":"","family":"Anbarasan","given":"M.","non-dropping-particle":"","parse-names":false,"suffix":""},{"dropping-particle":"","family":"Praveen Kumar","given":"D.","non-dropping-particle":"","parse-names":false,"suffix":""}],"container-title":"Computational Intelligence","id":"ITEM-1","issue":"3","issued":{"date-parts":[["2021","8","1"]]},"page":"1166-1180","publisher":"John Wiley &amp; Sons, Ltd","title":"Design of online intelligent English teaching platform based on artificial intelligence techniques","type":"article-journal","volume":"37"},"uris":["http://www.mendeley.com/documents/?uuid=6e3af7d9-bb0d-3a96-a203-edd3d000c833"]}],"mendeley":{"formattedCitation":"(Sun et al., 2021)","plainTextFormattedCitation":"(Sun et al., 2021)","previouslyFormattedCitation":"(Sun et al., 2021)"},"properties":{"noteIndex":0},"schema":"https://github.com/citation-style-language/schema/raw/master/csl-citation.json"}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(Sun et al., 2021)</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{"citationItems":[{"id":"ITEM-1","itemData":{"ISSN":"2791-7010","abstract":"The sudden spike of artificial intelligence (AI) technologies has had and continues to have a transformative impact on various domains, including education. The advent of AI-powered large language models [LLM], such as OpenAI's ChatGPT, will significantly enhance the way English as a foreign language (EFL) is taught and learned. This article explores the versatile applications of ChatGPT as a valuable tool in any EFL teacher’s toolkit, specifically focusing on material development and assessment. The demand for effective EFL teaching and learning strategies has been steadily on the rise for years due to globalization and the widespread adoption of English as the lingua franca for international communication. Consequently, the integration of technology in language education has become crucial in addressing the diverse needs of EFL learners and teachers. ChatGPT, a cutting-edge LLM, holds considerable promise in revolutionizing EFL education, as it combines advanced natural language processing capabilities with a realistic instantaneous human-like interaction. This article aims to provide some potential benefits of utilizing ChatGPT in EFL education. First, we examine how ChatGPT can be employed in material development, streamlining the process of creating engaging and contextually relevant resources tailored to the needs of individual learners, as well as other more general uses. Second, we explore the role of ChatGPT in text assessment, highlighting the fact that, unlike humans, it has the potential of offering real-time, personalized feedback on learners' performance, thereby enhancing the overall learning experience. It is worth noting that this article as well as the applications suggested in it are based on the latest ChatGPT 4 and not the older ChatGPT 3.5.","author":[{"dropping-particle":"","family":"Koraishi","given":"Osama","non-dropping-particle":"","parse-names":false,"suffix":""}],"container-title":"Language Education and Technology","id":"ITEM-1","issue":"1","issued":{"date-parts":[["2023","5","12"]]},"title":"Teaching English in the Age of AI: Embracing ChatGPT to Optimize EFL Materials and Assessment","type":"article-journal","volume":"3"},"uris":["http://www.mendeley.com/documents/?uuid=6df89008-6924-3318-9f31-31e7ee07e10c"]}],"mendeley":{"formattedCitation":"(Koraishi, 2023)","plainTextFormattedCitation":"(Koraishi, 2023)","previouslyFormattedCitation":"(Koraishi, 2023)"},"properties":{"noteIndex":0},"schema":"https://github.com/citation-style-language/schema/raw/master/csl-citation.json"}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(Koraishi, 2023)</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val="id-ID" w:eastAsia="zh-CN"/>
        </w:rPr>
        <w:t>.</w:t>
      </w:r>
    </w:p>
    <w:p w14:paraId="1CC1C519" w14:textId="09E0F53F" w:rsidR="00340533" w:rsidRPr="00340533" w:rsidRDefault="00340533" w:rsidP="00336BA2">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r w:rsidRPr="00340533">
        <w:rPr>
          <w:rFonts w:ascii="Garamond" w:eastAsia="Times New Roman" w:hAnsi="Garamond" w:cs="Times New Roman"/>
          <w:color w:val="000000"/>
          <w:lang w:val="id-ID" w:eastAsia="zh-CN"/>
        </w:rPr>
        <w:tab/>
      </w:r>
      <w:r>
        <w:rPr>
          <w:rFonts w:ascii="Garamond" w:eastAsia="Times New Roman" w:hAnsi="Garamond" w:cs="Times New Roman"/>
          <w:color w:val="000000"/>
          <w:lang w:val="id-ID" w:eastAsia="zh-CN"/>
        </w:rPr>
        <w:tab/>
      </w:r>
      <w:r w:rsidRPr="00340533">
        <w:rPr>
          <w:rFonts w:ascii="Garamond" w:eastAsia="Times New Roman" w:hAnsi="Garamond" w:cs="Times New Roman"/>
          <w:color w:val="000000"/>
          <w:lang w:val="id-ID" w:eastAsia="zh-CN"/>
        </w:rPr>
        <w:t xml:space="preserve">AI semakin disebarkan karena memiliki nilai strategis untuk pendidikan. </w:t>
      </w:r>
      <w:r w:rsidRPr="00340533">
        <w:rPr>
          <w:rFonts w:ascii="Garamond" w:eastAsia="Times New Roman" w:hAnsi="Garamond" w:cs="Times New Roman"/>
          <w:color w:val="000000"/>
          <w:lang w:eastAsia="zh-CN"/>
        </w:rPr>
        <w:t>Sejalan de</w:t>
      </w:r>
      <w:r w:rsidR="008805F1">
        <w:rPr>
          <w:rFonts w:ascii="Garamond" w:eastAsia="Times New Roman" w:hAnsi="Garamond" w:cs="Times New Roman"/>
          <w:color w:val="000000"/>
          <w:lang w:eastAsia="zh-CN"/>
        </w:rPr>
        <w:t>n</w:t>
      </w:r>
      <w:r w:rsidRPr="00340533">
        <w:rPr>
          <w:rFonts w:ascii="Garamond" w:eastAsia="Times New Roman" w:hAnsi="Garamond" w:cs="Times New Roman"/>
          <w:color w:val="000000"/>
          <w:lang w:eastAsia="zh-CN"/>
        </w:rPr>
        <w:t xml:space="preserve">gan hal tersebut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{"citationItems":[{"id":"ITEM-1","itemData":{"DOI":"10.1007/978-3-030-49663-0_6","ISBN":"9783030496623","ISSN":"16113349","abstract":"Mentoring is the activity when an experienced person (the mentor) supports a less knowledgeable person (the mentee), in order to achieve the learning goal. In a perfect world, the mentor would be always available when the mentee needs it. However, in the real world higher education institutions work with limited resources. For this, we need to carefully design socio-technical infrastructures for scaling mentoring processes with the help of distributed artificial intelligence. Our approach allows universities to quickly set up a necessary data processing environment to support both mentors and mentees. The presented framework is based on open source standards and technologies. This will help leveraging the approach, despite the organizational and pedagogical challenges. The deployed infrastructure is already used by several universities.","author":[{"dropping-particle":"","family":"Klamma","given":"Ralf","non-dropping-particle":"","parse-names":false,"suffix":""},{"dropping-particle":"","family":"Lange","given":"Peter","non-dropping-particle":"de","parse-names":false,"suffix":""},{"dropping-particle":"","family":"Neumann","given":"Alexander Tobias","non-dropping-particle":"","parse-names":false,"suffix":""},{"dropping-particle":"","family":"Hensen","given":"Benedikt","non-dropping-particle":"","parse-names":false,"suffix":""},{"dropping-particle":"","family":"Kravcik","given":"Milos","non-dropping-particle":"","parse-names":false,"suffix":""},{"dropping-particle":"","family":"Wang","given":"Xia","non-dropping-particle":"","parse-names":false,"suffix":""},{"dropping-particle":"","family":"Kuzilek","given":"Jakub","non-dropping-particle":"","parse-names":false,"suffix":""}],"container-title":"Lecture Notes in Computer Science (including subseries Lecture Notes in Artificial Intelligence and Lecture Notes in Bioinformatics)","id":"ITEM-1","issued":{"date-parts":[["2020"]]},"page":"38-44","publisher":"Springer","title":"Scaling mentoring support with distributed artificial intelligence","type":"article-journal","volume":"12149 LNCS"},"uris":["http://www.mendeley.com/documents/?uuid=821f8063-767e-3d44-8476-91d3a023849e"]}],"mendeley":{"formattedCitation":"(Klamma et al., 2020)","plainTextFormattedCitation":"(Klamma et al., 2020)","previouslyFormattedCitation":"(Klamma et al., 2020)"},"properties":{"noteIndex":0},"schema":"https://github.com/citation-style-language/schema/raw/master/csl-citation.json"}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(Klamma et al., 2020)</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val="id-ID" w:eastAsia="zh-CN"/>
        </w:rPr>
        <w:t>menyarankan bahwa AI bisa menjadi alat pembelajaran yang efektif yang mengurangi beban guru dan siswa dan menawarkan pengalaman belajar yang efektif bagi siswa. Ditambah dengan reformasi pendidikan saat ini seperti digitalisasi sumber daya pendidikan, gamifikasi, dan pengalaman belajar yang dipersonalisasi, ada banyak peluang untuk pengembangan aplikasi AI dalam pendidikan. Misalnya, potensi pemodelan teknik AI telah dimanfaatkan secara sistematis untuk mengembangkan tutorial reaktif dan adaptif untuk pembangunan lingkungan belajar individual sebagai kompensasi atas kekurangan guru melalui penggunaan sistem bimbingan cerdas (ITS)</w:t>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FF6B7E">
        <w:rPr>
          <w:rFonts w:ascii="Garamond" w:eastAsia="Times New Roman" w:hAnsi="Garamond" w:cs="Times New Roman"/>
          <w:color w:val="000000"/>
          <w:lang w:eastAsia="zh-CN"/>
        </w:rPr>
        <w:instrText>ADDIN CSL_CITATION {"citationItems":[{"id":"ITEM-1","itemData":{"DOI":"10.1145/3465631.3465844","ISBN":"9781450385015","abstract":"Artificial intelligence is changing people's traditional concepts, thinking and lifestyle, and improving human knowledge and education. It is not only the commanding height of information technology today, but also a research hotspot in the field of education technology. The purpose of applying artificial intelligence to the exploratory thinking in college English teaching is to optimize the college English teaching model and teaching effect. Using this system in teaching practice, students are placed in an intelligent, contextual and humanized language learning environment. After introducing the concept of artificial intelligence, it analyzes the main current situation of college English teaching, and then proposes innovations in college English teaching under artificial intelligence conditions.","author":[{"dropping-particle":"","family":"Wang","given":"Xiaohua","non-dropping-particle":"","parse-names":false,"suffix":""}],"container-title":"ACM International Conference Proceeding Series","id":"ITEM-1","issued":{"date-parts":[["2021","8","19"]]},"publisher":"Association for Computing Machinery","title":"College english teaching innovation under artificial intelligence","type":"article-journal"},"uris":["http://www.mendeley.com/documents/?uuid=6d2b275f-5274-32f8-be8f-a6ce38ee8651"]}],"mendeley":{"formattedCitation":"(X. Wang, 2021)","manualFormatting":"(Wang, 2021)","plainTextFormattedCitation":"(X. Wang, 2021)","previouslyFormattedCitation":"(Wang, 2021)"},"properties":{"noteIndex":0},"schema":"https://github.com/citation-style-language/schema/raw/master/csl-citation.json"}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(Wang, 2021)</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{"citationItems":[{"id":"ITEM-1","itemData":{"DOI":"10.1111/COIN.12351","ISSN":"1467-8640","abstract":"Artificial intelligence education (AIEd) is defined in the field of education as the utilization of artificial intelligence. There are currently many AIEd-driven applications in schools and universities. This paper applies an artificial intelligence module combined with the knowledge recommendation to the system and develops an online English teaching system in comparison with the common teaching auxiliary system. The method of English teaching is useful in investigating the potential internal connections between evaluation outcomes and various factors. This article develops deep learning-assisted online intelligent English teaching system that utilizes to create a modern tool platform to help students improve their English language teaching efficiency in line with their mastery of knowledge and personality. The decision tree algorithm and neural networks have been used and to generate an English teaching assessment implementation model based on decision tree technologies. It provides valuable data from extensive information, summarizes rules and data, and helps teachers to improve their education and the English scores of students. This system reflects the thinking of the artificial intelligence expert system. Test application demonstrates that the system can help students improve their learning efficiency and will make learning content more relevant. Besides, the system provides an example model with similar methods and has a referential definition.","author":[{"dropping-particle":"","family":"Sun","given":"Zhuomin","non-dropping-particle":"","parse-names":false,"suffix":""},{"dropping-particle":"","family":"Anbarasan","given":"M.","non-dropping-particle":"","parse-names":false,"suffix":""},{"dropping-particle":"","family":"Praveen Kumar","given":"D.","non-dropping-particle":"","parse-names":false,"suffix":""}],"container-title":"Computational Intelligence","id":"ITEM-1","issue":"3","issued":{"date-parts":[["2021","8","1"]]},"page":"1166-1180","publisher":"John Wiley &amp; Sons, Ltd","title":"Design of online intelligent English teaching platform based on artificial intelligence techniques","type":"article-journal","volume":"37"},"uris":["http://www.mendeley.com/documents/?uuid=6e3af7d9-bb0d-3a96-a203-edd3d000c833"]}],"mendeley":{"formattedCitation":"(Sun et al., 2021)","plainTextFormattedCitation":"(Sun et al., 2021)","previouslyFormattedCitation":"(Sun et al., 2021)"},"properties":{"noteIndex":0},"schema":"https://github.com/citation-style-language/schema/raw/master/csl-citation.json"}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(Sun et al., 2021)</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{"citationItems":[{"id":"ITEM-1","itemData":{"DOI":"10.1007/978-3-030-49663-0_6","ISBN":"9783030496623","ISSN":"16113349","abstract":"Mentoring is the activity when an experienced person (the mentor) supports a less knowledgeable person (the mentee), in order to achieve the learning goal. In a perfect world, the mentor would be always available when the mentee needs it. However, in the real world higher education institutions work with limited resources. For this, we need to carefully design socio-technical infrastructures for scaling mentoring processes with the help of distributed artificial intelligence. Our approach allows universities to quickly set up a necessary data processing environment to support both mentors and mentees. The presented framework is based on open source standards and technologies. This will help leveraging the approach, despite the organizational and pedagogical challenges. The deployed infrastructure is already used by several universities.","author":[{"dropping-particle":"","family":"Klamma","given":"Ralf","non-dropping-particle":"","parse-names":false,"suffix":""},{"dropping-particle":"","family":"Lange","given":"Peter","non-dropping-particle":"de","parse-names":false,"suffix":""},{"dropping-particle":"","family":"Neumann","given":"Alexander Tobias","non-dropping-particle":"","parse-names":false,"suffix":""},{"dropping-particle":"","family":"Hensen","given":"Benedikt","non-dropping-particle":"","parse-names":false,"suffix":""},{"dropping-particle":"","family":"Kravcik","given":"Milos","non-dropping-particle":"","parse-names":false,"suffix":""},{"dropping-particle":"","family":"Wang","given":"Xia","non-dropping-particle":"","parse-names":false,"suffix":""},{"dropping-particle":"","family":"Kuzilek","given":"Jakub","non-dropping-particle":"","parse-names":false,"suffix":""}],"container-title":"Lecture Notes in Computer Science (including subseries Lecture Notes in Artificial Intelligence and Lecture Notes in Bioinformatics)","id":"ITEM-1","issued":{"date-parts":[["2020"]]},"page":"38-44","publisher":"Springer","title":"Scaling mentoring support with distributed artificial intelligence","type":"article-journal","volume":"12149 LNCS"},"uris":["http://www.mendeley.com/documents/?uuid=821f8063-767e-3d44-8476-91d3a023849e"]}],"mendeley":{"formattedCitation":"(Klamma et al., 2020)","plainTextFormattedCitation":"(Klamma et al., 2020)","previouslyFormattedCitation":"(Klamma et al., 2020)"},"properties":{"noteIndex":0},"schema":"https://github.com/citation-style-language/schema/raw/master/csl-citation.json"}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(Klamma et al., 2020)</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val="id-ID" w:eastAsia="zh-CN"/>
        </w:rPr>
        <w:t xml:space="preserve">. ITS memberikan pengalaman belajar yang dipersonalisasi dalam empat cara utama: memantau input siswa, memberikan tugas yang sesuai, memberikan umpan balik yang efektif, dan menerapkan antarmuka untuk komunikasi manusia-komputer. Ketika lebih banyak ITS diciptakan untuk lebih banyak mata pelajaran dan topik, kemungkinan akan mengubah peran guru, dan karenanya, sekolah mungkin perlu dikonsep ulang. </w:t>
      </w:r>
      <w:r w:rsidRPr="00340533">
        <w:rPr>
          <w:rFonts w:ascii="Garamond" w:eastAsia="Times New Roman" w:hAnsi="Garamond" w:cs="Times New Roman"/>
          <w:color w:val="000000"/>
          <w:lang w:val="id-ID" w:eastAsia="zh-CN"/>
        </w:rPr>
        <w:fldChar w:fldCharType="begin" w:fldLock="1"/>
      </w:r>
      <w:r w:rsidR="008805F1">
        <w:rPr>
          <w:rFonts w:ascii="Garamond" w:eastAsia="Times New Roman" w:hAnsi="Garamond" w:cs="Times New Roman"/>
          <w:color w:val="000000"/>
          <w:lang w:val="id-ID" w:eastAsia="zh-CN"/>
        </w:rPr>
        <w:instrText>ADDIN CSL_CITATION {"citationItems":[{"id":"ITEM-1","itemData":{"DOI":"10.1186/S41239-019-0171-0","ISSN":"2365-9440","abstract":"According to various international reports, Artificial Intelligence in Education (AIEd) is one of the currently emerging fields in educational technology. Whilst it has been around for about 30</w:instrText>
      </w:r>
      <w:r w:rsidR="008805F1">
        <w:rPr>
          <w:rFonts w:ascii="Times New Roman" w:eastAsia="Times New Roman" w:hAnsi="Times New Roman" w:cs="Times New Roman"/>
          <w:color w:val="000000"/>
          <w:lang w:val="id-ID" w:eastAsia="zh-CN"/>
        </w:rPr>
        <w:instrText> </w:instrText>
      </w:r>
      <w:r w:rsidR="008805F1">
        <w:rPr>
          <w:rFonts w:ascii="Garamond" w:eastAsia="Times New Roman" w:hAnsi="Garamond" w:cs="Times New Roman"/>
          <w:color w:val="000000"/>
          <w:lang w:val="id-ID" w:eastAsia="zh-CN"/>
        </w:rPr>
        <w:instrText>years, it is still unclear for educators how to make pedagogical advantage of it on a broader scale, and how it can actually impact meaningfully on teaching and learning in higher education. This paper seeks to provide an overview of research on AI applications in higher education through a systematic review. Out of 2656 initially identified publications for the period between 2007 and 2018, 146 articles were included for final synthesis, according to explicit inclusion and exclusion criteria. The descriptive results show that most of the disciplines involved in AIEd papers come from Computer Science and STEM, and that quantitative methods were the most frequently used in empirical studies. The synthesis of results presents four areas of AIEd applications in academic support services, and institutional and administrative services: 1. profiling and prediction, 2. assessment and evaluation, 3. adaptive systems and personalisation, and 4. intelligent tutoring systems. The conclusions reflect on the almost lack of critical reflection of challenges and risks of AIEd, the weak connection to theoretical pedagogical perspectives, and the need for further exploration of ethical and educational approaches in the application of AIEd in higher education.","author":[{"dropping-particle":"","family":"Zawacki-Richter","given":"Olaf","non-dropping-particle":"","parse-names":false,"suffix":""},{"dropping-particle":"","family":"Marín","given":"Victoria I.","non-dropping-particle":"","parse-names":false,"suffix":""},{"dropping-particle":"","family":"Bond","given":"Melissa","non-dropping-particle":"","parse-names":false,"suffix":""},{"dropping-particle":"","family":"Gouverneur","given":"Franziska","non-dropping-particle":"","parse-names":false,"suffix":""}],"container-title":"International Journal of Educational Technology in Higher Education 2019 16:1","id":"ITEM-1","issue":"1","issued":{"date-parts":[["2019","10","28"]]},"page":"1-27","publisher":"SpringerOpen","title":"Systematic review of research on artificial intelligence applications in higher education – where are the educators?","type":"article-journal","volume":"16"},"uris":["http://www.mendeley.com/documents/?uuid=65bbaf45-96de-390f-96be-ec060fc70bf5"]}],"mendeley":{"formattedCitation":"(Zawacki-Richter et al., 2019)","plainTextFormattedCitation":"(Zawacki-Richter et al., 2019)","previouslyFormattedCitation":"(Zawacki-Richter et al., 2019)"},"properties":{"noteIndex":0},"schema":"https://github.com/citation-style-language/schema/raw/master/csl-citation.json"}</w:instrText>
      </w:r>
      <w:r w:rsidRPr="00340533">
        <w:rPr>
          <w:rFonts w:ascii="Garamond" w:eastAsia="Times New Roman" w:hAnsi="Garamond" w:cs="Times New Roman"/>
          <w:color w:val="000000"/>
          <w:lang w:val="id-ID" w:eastAsia="zh-CN"/>
        </w:rPr>
        <w:fldChar w:fldCharType="separate"/>
      </w:r>
      <w:r w:rsidR="008805F1" w:rsidRPr="008805F1">
        <w:rPr>
          <w:rFonts w:ascii="Garamond" w:eastAsia="Times New Roman" w:hAnsi="Garamond" w:cs="Times New Roman"/>
          <w:noProof/>
          <w:color w:val="000000"/>
          <w:lang w:val="id-ID" w:eastAsia="zh-CN"/>
        </w:rPr>
        <w:t>(Zawacki-Richter et al., 2019)</w:t>
      </w:r>
      <w:r w:rsidRPr="00340533">
        <w:rPr>
          <w:rFonts w:ascii="Garamond" w:eastAsia="Times New Roman" w:hAnsi="Garamond" w:cs="Times New Roman"/>
          <w:color w:val="000000"/>
          <w:lang w:val="id-ID" w:eastAsia="zh-CN"/>
        </w:rPr>
        <w:fldChar w:fldCharType="end"/>
      </w:r>
      <w:r w:rsidRPr="00340533">
        <w:rPr>
          <w:rFonts w:ascii="Garamond" w:eastAsia="Times New Roman" w:hAnsi="Garamond" w:cs="Times New Roman"/>
          <w:color w:val="000000"/>
          <w:lang w:eastAsia="zh-CN"/>
        </w:rPr>
        <w:t xml:space="preserve"> memberikan penjelasan mengenai </w:t>
      </w:r>
      <w:r w:rsidRPr="00340533">
        <w:rPr>
          <w:rFonts w:ascii="Garamond" w:eastAsia="Times New Roman" w:hAnsi="Garamond" w:cs="Times New Roman"/>
          <w:color w:val="000000"/>
          <w:lang w:val="id-ID" w:eastAsia="zh-CN"/>
        </w:rPr>
        <w:t xml:space="preserve">banyak kekhawatiran dan kekhawatiran di kalangan guru tentang apakah AI menantang pekerjaan mereka. Pada saat yang sama, pertanyaan-pertanyaan seperti apa yang sedang dipelajari dan bagaimana AI digunakan sedang dibahas saat ini oleh para peneliti serta oleh praktisi pendidikan. Beberapa peneliti bertanya-tanya apakah kemajuan dalam AI akan menantang atau bahkan menggantikan guru karena banyak pekerjaan lain digantikan oleh otomatisasi </w:t>
      </w:r>
      <w:r w:rsidRPr="00340533">
        <w:rPr>
          <w:rFonts w:ascii="Garamond" w:eastAsia="Times New Roman" w:hAnsi="Garamond" w:cs="Times New Roman"/>
          <w:color w:val="000000"/>
          <w:lang w:val="id-ID" w:eastAsia="zh-CN"/>
        </w:rPr>
        <w:fldChar w:fldCharType="begin" w:fldLock="1"/>
      </w:r>
      <w:r w:rsidR="008805F1">
        <w:rPr>
          <w:rFonts w:ascii="Garamond" w:eastAsia="Times New Roman" w:hAnsi="Garamond" w:cs="Times New Roman"/>
          <w:color w:val="000000"/>
          <w:lang w:val="id-ID" w:eastAsia="zh-CN"/>
        </w:rPr>
        <w:instrText>ADDIN CSL_CITATION {"citationItems":[{"id":"ITEM-1","itemData":{"DOI":"10.1007/S10639-020-10159-7/TABLES/6","ISSN":"15737608","abstract":"Emergence of the use and application of Artificial Intelligence (AI) in higher education in India has opened new possibilities and challenges. Use of AI in will bring in effective change of governance in the entire internal architecture of Indian Institutes of higher education. The prospect of use of AI includes investigation of educational implications as to how teachers would enrich them, how students would learn, and how accurate and prompt decisions can be taken in the institutes of higher education. This is important since the workload has been multiplied due to massification of higher education. Such being the scenario, help of AI is highly essential. The question of adoption of AI in higher education is an important issue in this perspective. The purpose of this study is to explore how the stakeholders would be able to adopt it. For this, we have taken help of many adoption theories and models including ‘Unified Theory of Acceptance and Use of Technology’ (UTAUT) model. We have developed hypotheses and a conceptual model and got it validated through survey with the help of feedbacks from useable 329 respondents. It has been found that the model can help the authorities to facilitate adoption of AI in higher education.","author":[{"dropping-particle":"","family":"Chatterjee","given":"Sheshadri","non-dropping-particle":"","parse-names":false,"suffix":""},{"dropping-particle":"","family":"Bhattacharjee","given":"Kalyan Kumar","non-dropping-particle":"","parse-names":false,"suffix":""}],"container-title":"Education and Information Technologies","id":"ITEM-1","issue":"5","issued":{"date-parts":[["2020","9","1"]]},"page":"3443-3463","publisher":"Springer","title":"Adoption of artificial intelligence in higher education: a quantitative analysis using structural equation modelling","type":"article-journal","volume":"25"},"uris":["http://www.mendeley.com/documents/?uuid=900b4006-8a79-3aae-bdbd-5238a0978704"]}],"mendeley":{"formattedCitation":"(Chatterjee &amp; Bhattacharjee, 2020)","plainTextFormattedCitation":"(Chatterjee &amp; Bhattacharjee, 2020)","previouslyFormattedCitation":"(Chatterjee &amp; Bhattacharjee, 2020)"},"properties":{"noteIndex":0},"schema":"https://github.com/citation-style-language/schema/raw/master/csl-citation.json"}</w:instrText>
      </w:r>
      <w:r w:rsidRPr="00340533">
        <w:rPr>
          <w:rFonts w:ascii="Garamond" w:eastAsia="Times New Roman" w:hAnsi="Garamond" w:cs="Times New Roman"/>
          <w:color w:val="000000"/>
          <w:lang w:val="id-ID" w:eastAsia="zh-CN"/>
        </w:rPr>
        <w:fldChar w:fldCharType="separate"/>
      </w:r>
      <w:r w:rsidR="008805F1" w:rsidRPr="008805F1">
        <w:rPr>
          <w:rFonts w:ascii="Garamond" w:eastAsia="Times New Roman" w:hAnsi="Garamond" w:cs="Times New Roman"/>
          <w:noProof/>
          <w:color w:val="000000"/>
          <w:lang w:val="id-ID" w:eastAsia="zh-CN"/>
        </w:rPr>
        <w:t>(Chatterjee &amp; Bhattacharjee, 2020)</w:t>
      </w:r>
      <w:r w:rsidRPr="00340533">
        <w:rPr>
          <w:rFonts w:ascii="Garamond" w:eastAsia="Times New Roman" w:hAnsi="Garamond" w:cs="Times New Roman"/>
          <w:color w:val="000000"/>
          <w:lang w:val="id-ID"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{"citationItems":[{"id":"ITEM-1","itemData":{"DOI":"10.1007/S40593-022-00326-X/TABLES/8","ISSN":"15604306","abstract":"Personalized gamification aims to address shortcomings of the one-size-fits-all (OSFA) approach in improving students’ motivations throughout the learning process. However, studies still focus on personalizing to a single user dimension, ignoring multiple individual and contextual factors that affect user motivation. Unlike prior research, we address this issue by exploring multidimensional personalization compared to OSFA based on a multi-institution sample. Thus, we conducted a controlled experiment in three institutions, comparing gamification designs (OSFA and Personalized to the learning task and users’ gaming habits/preferences and demographics) in terms of 58 students’ motivations to complete assessments for learning. Our results suggest no significant differences among OSFA and Personalized designs, despite suggesting user motivation depended on fewer user characteristics when using personalization. Additionally, exploratory analyses suggest personalization was positive for females and those holding a technical degree, but negative for those who prefer adventure games and those who prefer single-playing. Our contribution benefits designers, suggesting how personalization works; practitioners, demonstrating to whom the personalization strategy was more or less suitable; and researchers, providing future research directions.","author":[{"dropping-particle":"","family":"Rodrigues","given":"Luiz","non-dropping-particle":"","parse-names":false,"suffix":""},{"dropping-particle":"","family":"Palomino","given":"Paula T.","non-dropping-particle":"","parse-names":false,"suffix":""},{"dropping-particle":"","family":"Toda","given":"Armando M.","non-dropping-particle":"","parse-names":false,"suffix":""},{"dropping-particle":"","family":"Klock","given":"Ana C.T.","non-dropping-particle":"","parse-names":false,"suffix":""},{"dropping-particle":"","family":"Pessoa","given":"Marcela","non-dropping-particle":"","parse-names":false,"suffix":""},{"dropping-particle":"","family":"Pereira","given":"Filipe D.","non-dropping-particle":"","parse-names":false,"suffix":""},{"dropping-particle":"","family":"Oliveira","given":"Elaine H.T.","non-dropping-particle":"","parse-names":false,"suffix":""},{"dropping-particle":"","family":"Oliveira","given":"David F.","non-dropping-particle":"","parse-names":false,"suffix":""},{"dropping-particle":"","family":"Cristea","given":"Alexandra I.","non-dropping-particle":"","parse-names":false,"suffix":""},{"dropping-particle":"","family":"Gasparini","given":"Isabela","non-dropping-particle":"","parse-names":false,"suffix":""},{"dropping-particle":"","family":"Isotani","given":"Seiji","non-dropping-particle":"","parse-names":false,"suffix":""}],"container-title":"International Journal of Artificial Intelligence in Education","id":"ITEM-1","issued":{"date-parts":[["2023","1","10"]]},"page":"1-38","publisher":"Springer","title":"How Personalization Affects Motivation in Gamified Review Assessments","type":"article-journal"},"uris":["http://www.mendeley.com/documents/?uuid=c07287f5-d219-3bb1-be69-68821f0844f3"]}],"mendeley":{"formattedCitation":"(Rodrigues et al., 2023)","plainTextFormattedCitation":"(Rodrigues et al., 2023)","previouslyFormattedCitation":"(Rodrigues et al., 2023)"},"properties":{"noteIndex":0},"schema":"https://github.com/citation-style-language/schema/raw/master/csl-citation.json"}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(Rodrigues et al., 2023)</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val="id-ID" w:eastAsia="zh-CN"/>
        </w:rPr>
        <w:t xml:space="preserve">. Ada pengakuan yang muncul bahwa peran profesional guru perlu disesuaikan seiring kemajuan AI dan ini akan memicu bentuk organisasi baru </w:t>
      </w:r>
      <w:r w:rsidRPr="00340533">
        <w:rPr>
          <w:rFonts w:ascii="Garamond" w:eastAsia="Times New Roman" w:hAnsi="Garamond" w:cs="Times New Roman"/>
          <w:color w:val="000000"/>
          <w:lang w:val="id-ID" w:eastAsia="zh-CN"/>
        </w:rPr>
        <w:fldChar w:fldCharType="begin" w:fldLock="1"/>
      </w:r>
      <w:r w:rsidR="008805F1">
        <w:rPr>
          <w:rFonts w:ascii="Garamond" w:eastAsia="Times New Roman" w:hAnsi="Garamond" w:cs="Times New Roman"/>
          <w:color w:val="000000"/>
          <w:lang w:val="id-ID" w:eastAsia="zh-CN"/>
        </w:rPr>
        <w:instrText>ADDIN CSL_CITATION {"citationItems":[{"id":"ITEM-1","itemData":{"DOI":"10.1016/J.CAEAI.2021.100008","ISSN":"2666-920X","abstract":"The inevitable rise and development of artificial intelligence (AI) was not a sudden occurrence. The greater the effect that AI has on humans, the more pressing the need is for us to understand it. This paper addresses research on the use of AI to evaluate new design methods and tools that can be leveraged to advance AI research, education, policy, and practice to improve the human condition. AI has the potential to educate, train, and improve the performance of humans, making them better at their tasks and activities. The use of AI can enhance human welfare in numerous respects, such as through improving the productivity of food, health, water, education, and energy services. However, the misuse of AI due to algorithm bias and a lack of governance could inhibit human rights and result in employment, gender, and racial inequality. We envision that AI can evolve into human-centered AI (HAI), which refers to approaching AI from a human perspective by considering human conditions and contexts. Most current discussions on AI technology focus on how AI can enable human performance. However, we explore AI can also inhibit the human condition and advocate for an in-depth dialog between technology- and humanity-based researchers to improve understanding of HAI from various perspectives.","author":[{"dropping-particle":"","family":"Yang","given":"Stephen J.H.","non-dropping-particle":"","parse-names":false,"suffix":""},{"dropping-particle":"","family":"Ogata","given":"Hiroaki","non-dropping-particle":"","parse-names":false,"suffix":""},{"dropping-particle":"","family":"Matsui","given":"Tatsunori","non-dropping-particle":"","parse-names":false,"suffix":""},{"dropping-particle":"","family":"Chen","given":"Nian Shing","non-dropping-particle":"","parse-names":false,"suffix":""}],"container-title":"Computers and Education: Artificial Intelligence","id":"ITEM-1","issued":{"date-parts":[["2021","1","1"]]},"page":"100008","publisher":"Elsevier","title":"Human-centered artificial intelligence in education: Seeing the invisible through the visible","type":"article-journal","volume":"2"},"uris":["http://www.mendeley.com/documents/?uuid=eb4f5e86-8f77-32ab-b9d5-91ea92db4a0d"]}],"mendeley":{"formattedCitation":"(Yang et al., 2021)","plainTextFormattedCitation":"(Yang et al., 2021)","previouslyFormattedCitation":"(Yang et al., 2021)"},"properties":{"noteIndex":0},"schema":"https://github.com/citation-style-language/schema/raw/master/csl-citation.json"}</w:instrText>
      </w:r>
      <w:r w:rsidRPr="00340533">
        <w:rPr>
          <w:rFonts w:ascii="Garamond" w:eastAsia="Times New Roman" w:hAnsi="Garamond" w:cs="Times New Roman"/>
          <w:color w:val="000000"/>
          <w:lang w:val="id-ID" w:eastAsia="zh-CN"/>
        </w:rPr>
        <w:fldChar w:fldCharType="separate"/>
      </w:r>
      <w:r w:rsidR="008805F1" w:rsidRPr="008805F1">
        <w:rPr>
          <w:rFonts w:ascii="Garamond" w:eastAsia="Times New Roman" w:hAnsi="Garamond" w:cs="Times New Roman"/>
          <w:noProof/>
          <w:color w:val="000000"/>
          <w:lang w:val="id-ID" w:eastAsia="zh-CN"/>
        </w:rPr>
        <w:t>(Yang et al., 2021)</w:t>
      </w:r>
      <w:r w:rsidRPr="00340533">
        <w:rPr>
          <w:rFonts w:ascii="Garamond" w:eastAsia="Times New Roman" w:hAnsi="Garamond" w:cs="Times New Roman"/>
          <w:color w:val="000000"/>
          <w:lang w:val="id-ID" w:eastAsia="zh-CN"/>
        </w:rPr>
        <w:fldChar w:fldCharType="end"/>
      </w:r>
      <w:r w:rsidRPr="00340533">
        <w:rPr>
          <w:rFonts w:ascii="Garamond" w:eastAsia="Times New Roman" w:hAnsi="Garamond" w:cs="Times New Roman"/>
          <w:color w:val="000000"/>
          <w:lang w:val="id-ID" w:eastAsia="zh-CN"/>
        </w:rPr>
        <w:t xml:space="preserve">. Tantangan yang muncul juga termasuk sikap siswa terhadap perubahan ini </w:t>
      </w:r>
      <w:r w:rsidRPr="00340533">
        <w:rPr>
          <w:rFonts w:ascii="Garamond" w:eastAsia="Times New Roman" w:hAnsi="Garamond" w:cs="Times New Roman"/>
          <w:color w:val="000000"/>
          <w:lang w:val="id-ID" w:eastAsia="zh-CN"/>
        </w:rPr>
        <w:fldChar w:fldCharType="begin" w:fldLock="1"/>
      </w:r>
      <w:r w:rsidR="008805F1">
        <w:rPr>
          <w:rFonts w:ascii="Garamond" w:eastAsia="Times New Roman" w:hAnsi="Garamond" w:cs="Times New Roman"/>
          <w:color w:val="000000"/>
          <w:lang w:val="id-ID" w:eastAsia="zh-CN"/>
        </w:rPr>
        <w:instrText>ADDIN CSL_CITATION {"citationItems":[{"id":"ITEM-1","itemData":{"DOI":"10.1016/J.COMPEDU.2023.104862","ISSN":"0360-1315","abstract":"Recent advancements in artificial intelligence have led to the development of chatbots capable of engaging in argumentative dialogues and debates with human users. Although some studies have investigated the use of such chatbots to facilitate argumentation learning outside of the classroom, their integration into in-class learning activities remains largely unexplored. In this study, we developed a novel task design, chatbot-assisted in-class debates (CaIcD), for argumentation learning. In the task design, the students interacted with an argumentative chatbot named Argumate before engaging in debates with their classmates. During their interaction, the chatbot helped the students to generate ideas for supporting their position and predict opposing viewpoints. This study investigated the effects of CaIcD on students' argumentation skills and task motivation. Forty-four Chinese undergraduate students from two classes participated in this study. To examine the effects on argumentation skills in terms of structural complexity and argument quality, we used a pretest–posttest quasi-experimental design. Quade's test results revealed that participation in CaIcD enabled the students to use more claims, data, and warrants to generate arguments and participation in CaIcD led to more organised, sufficient, and elaborated arguments. However, no significant effects on overall structural complexity were found. Moreover, to understand the students' task motivation towards CaIcD, a within-subjects comparison design was employed. The results of the Wilcoxon signed-rank test indicated that the students had a higher level of enjoyment and exerted more effort when engaging in CaIcD than when performing conventional learning tasks. Moreover, the students perceived their performance in CaIcD to be as successful as that in conventional learning tasks, although the CaIcD task presented more challenges to them. However, no significant difference was observed in the students' perceived relevance of the two types of tasks to their argumentation learning. This study provides empirical evidence that integrating argumentative chatbots into classroom debates can lead to improved argumentation skills and higher task motivation among undergraduate students.","author":[{"dropping-particle":"","family":"Guo","given":"Kai","non-dropping-particle":"","parse-names":false,"suffix":""},{"dropping-particle":"","family":"Zhong","given":"Yuchun","non-dropping-particle":"","parse-names":false,"suffix":""},{"dropping-particle":"","family":"Li","given":"Danling","non-dropping-particle":"","parse-names":false,"suffix":""},{"dropping-particle":"","family":"Chu","given":"Samuel Kai Wah","non-dropping-particle":"","parse-names":false,"suffix":""}],"container-title":"Computers &amp; Education","id":"ITEM-1","issued":{"date-parts":[["2023","10","1"]]},"page":"104862","publisher":"Pergamon","title":"Effects of chatbot-assisted in-class debates on students’ argumentation skills and task motivation","type":"article-journal","volume":"203"},"uris":["http://www.mendeley.com/documents/?uuid=7f5f7f11-a09e-3bb5-8a68-430c4e16992f"]}],"mendeley":{"formattedCitation":"(Guo et al., 2023)","plainTextFormattedCitation":"(Guo et al., 2023)","previouslyFormattedCitation":"(Guo et al., 2023)"},"properties":{"noteIndex":0},"schema":"https://github.com/citation-style-language/schema/raw/master/csl-citation.json"}</w:instrText>
      </w:r>
      <w:r w:rsidRPr="00340533">
        <w:rPr>
          <w:rFonts w:ascii="Garamond" w:eastAsia="Times New Roman" w:hAnsi="Garamond" w:cs="Times New Roman"/>
          <w:color w:val="000000"/>
          <w:lang w:val="id-ID" w:eastAsia="zh-CN"/>
        </w:rPr>
        <w:fldChar w:fldCharType="separate"/>
      </w:r>
      <w:r w:rsidR="008805F1" w:rsidRPr="008805F1">
        <w:rPr>
          <w:rFonts w:ascii="Garamond" w:eastAsia="Times New Roman" w:hAnsi="Garamond" w:cs="Times New Roman"/>
          <w:noProof/>
          <w:color w:val="000000"/>
          <w:lang w:val="id-ID" w:eastAsia="zh-CN"/>
        </w:rPr>
        <w:t>(Guo et al., 2023)</w:t>
      </w:r>
      <w:r w:rsidRPr="00340533">
        <w:rPr>
          <w:rFonts w:ascii="Garamond" w:eastAsia="Times New Roman" w:hAnsi="Garamond" w:cs="Times New Roman"/>
          <w:color w:val="000000"/>
          <w:lang w:val="id-ID"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{"citationItems":[{"id":"ITEM-1","itemData":{"DOI":"10.1186/S41239-019-0171-0","ISSN":"2365-9440","abstract":"According to various international reports, Artificial Intelligence in Education (AIEd) is one of the currently emerging fields in educational technology. Whilst it has been around for about 30</w:instrText>
      </w:r>
      <w:r w:rsidR="008805F1">
        <w:rPr>
          <w:rFonts w:ascii="Times New Roman" w:eastAsia="Times New Roman" w:hAnsi="Times New Roman" w:cs="Times New Roman"/>
          <w:color w:val="000000"/>
          <w:lang w:eastAsia="zh-CN"/>
        </w:rPr>
        <w:instrText> </w:instrText>
      </w:r>
      <w:r w:rsidR="008805F1">
        <w:rPr>
          <w:rFonts w:ascii="Garamond" w:eastAsia="Times New Roman" w:hAnsi="Garamond" w:cs="Times New Roman"/>
          <w:color w:val="000000"/>
          <w:lang w:eastAsia="zh-CN"/>
        </w:rPr>
        <w:instrText>years, it is still unclear for educators how to make pedagogical advantage of it on a broader scale, and how it can actually impact meaningfully on teaching and learning in higher education. This paper seeks to provide an overview of research on AI applications in higher education through a systematic review. Out of 2656 initially identified publications for the period between 2007 and 2018, 146 articles were included for final synthesis, according to explicit inclusion and exclusion criteria. The descriptive results show that most of the disciplines involved in AIEd papers come from Computer Science and STEM, and that quantitative methods were the most frequently used in empirical studies. The synthesis of results presents four areas of AIEd applications in academic support services, and institutional and administrative services: 1. profiling and prediction, 2. assessment and evaluation, 3. adaptive systems and personalisation, and 4. intelligent tutoring systems. The conclusions reflect on the almost lack of critical reflection of challenges and risks of AIEd, the weak connection to theoretical pedagogical perspectives, and the need for further exploration of ethical and educational approaches in the application of AIEd in higher education.","author":[{"dropping-particle":"","family":"Zawacki-Richter","given":"Olaf","non-dropping-particle":"","parse-names":false,"suffix":""},{"dropping-particle":"","family":"Marín","given":"Victoria I.","non-dropping-particle":"","parse-names":false,"suffix":""},{"dropping-particle":"","family":"Bond","given":"Melissa","non-dropping-particle":"","parse-names":false,"suffix":""},{"dropping-particle":"","family":"Gouverneur","given":"Franziska","non-dropping-particle":"","parse-names":false,"suffix":""}],"container-title":"International Journal of Educational Technology in Higher Education 2019 16:1","id":"ITEM-1","issue":"1","issued":{"date-parts":[["2019","10","28"]]},"page":"1-27","publisher":"SpringerOpen","title":"Systematic review of research on artificial intelligence applications in higher education – where are the educators?","type":"article-journal","volume":"16"},"uris":["http://www.mendeley.com/documents/?uuid=65bbaf45-96de-390f-96be-ec060fc70bf5"]}],"mendeley":{"formattedCitation":"(Zawacki-Richter et al., 2019)","plainTextFormattedCitation":"(Zawacki-Richter et al., 2019)","previouslyFormattedCitation":"(Zawacki-Richter et al., 2019)"},"properties":{"noteIndex":0},"schema":"https://github.com/citation-style-language/schema/raw/master/csl-citation.json"}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(Zawacki-Richter et al., 2019)</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val="id-ID" w:eastAsia="zh-CN"/>
        </w:rPr>
        <w:t xml:space="preserve">. Sampai batas tertentu, siswa sebagai warga digital dapat memanfaatkan AI untuk meningkatkan hasil pembelajaran. Meskipun demikian, mereka mungkin gagal menggunakan teknik AI yang sesuai dengan tepat untuk konteks pembelajaran tertentu, yang akan menghasilkan sikap negatif terhadap pembelajaran </w:t>
      </w:r>
      <w:r w:rsidRPr="00340533">
        <w:rPr>
          <w:rFonts w:ascii="Garamond" w:eastAsia="Times New Roman" w:hAnsi="Garamond" w:cs="Times New Roman"/>
          <w:color w:val="000000"/>
          <w:lang w:val="id-ID" w:eastAsia="zh-CN"/>
        </w:rPr>
        <w:fldChar w:fldCharType="begin" w:fldLock="1"/>
      </w:r>
      <w:r w:rsidR="008805F1">
        <w:rPr>
          <w:rFonts w:ascii="Garamond" w:eastAsia="Times New Roman" w:hAnsi="Garamond" w:cs="Times New Roman"/>
          <w:color w:val="000000"/>
          <w:lang w:val="id-ID" w:eastAsia="zh-CN"/>
        </w:rPr>
        <w:instrText>ADDIN CSL_CITATION {"citationItems":[{"id":"ITEM-1","itemData":{"DOI":"10.1007/S40593-022-00293-3/TABLES/5","ISSN":"15604306","abstract":"The rapid expansion of artificial intelligence (AI) necessitates promoting AI education at the K-12 level. However, educating young learners to become AI literate citizens poses several challenges. The components of AI literacy are ill-defined and it is unclear to what extent middle school students can engage in learning about AI as a sociotechnical system with socio-political implications. In this paper we posit that students must learn three core domains of AI: technical concepts and processes, ethical and societal implications, and career futures in the AI era. This paper describes the design and implementation of the Developing AI Literacy (DAILy) workshop that aimed to integrate middle school students’ learning of the three domains. We found that after the workshop, most students developed a general understanding of AI concepts and processes (e.g., supervised learning and logic systems). More importantly, they were able to identify bias, describe ways to mitigate bias in machine learning, and start to consider how AI may impact their future lives and careers. At exit, nearly half of the students explained AI as not just a technical subject, but one that has personal, career, and societal implications. Overall, this finding suggests that the approach of incorporating ethics and career futures into AI education is age appropriate and effective for developing AI literacy among middle school students. This study contributes to the field of AI Education by presenting a model of integrating ethics into the teaching of AI that is appropriate for middle school students.","author":[{"dropping-particle":"","family":"Zhang","given":"Helen","non-dropping-particle":"","parse-names":false,"suffix":""},{"dropping-particle":"","family":"Lee","given":"Irene","non-dropping-particle":"","parse-names":false,"suffix":""},{"dropping-particle":"","family":"Ali","given":"Safinah","non-dropping-particle":"","parse-names":false,"suffix":""},{"dropping-particle":"","family":"DiPaola","given":"Daniella","non-dropping-particle":"","parse-names":false,"suffix":""},{"dropping-particle":"","family":"Cheng","given":"Yihong","non-dropping-particle":"","parse-names":false,"suffix":""},{"dropping-particle":"","family":"Breazeal","given":"Cynthia","non-dropping-particle":"","parse-names":false,"suffix":""}],"container-title":"International Journal of Artificial Intelligence in Education","id":"ITEM-1","issue":"2","issued":{"date-parts":[["2022","5","9"]]},"page":"290-324","publisher":"Springer","title":"Integrating Ethics and Career Futures with Technical Learning to Promote AI Literacy for Middle School Students: An Exploratory Study","type":"article-journal","volume":"33"},"uris":["http://www.mendeley.com/documents/?uuid=581fe91c-ea41-3bdd-a01b-5617bc246674"]}],"mendeley":{"formattedCitation":"(Zhang et al., 2022)","plainTextFormattedCitation":"(Zhang et al., 2022)","previouslyFormattedCitation":"(Zhang et al., 2022)"},"properties":{"noteIndex":0},"schema":"https://github.com/citation-style-language/schema/raw/master/csl-citation.json"}</w:instrText>
      </w:r>
      <w:r w:rsidRPr="00340533">
        <w:rPr>
          <w:rFonts w:ascii="Garamond" w:eastAsia="Times New Roman" w:hAnsi="Garamond" w:cs="Times New Roman"/>
          <w:color w:val="000000"/>
          <w:lang w:val="id-ID" w:eastAsia="zh-CN"/>
        </w:rPr>
        <w:fldChar w:fldCharType="separate"/>
      </w:r>
      <w:r w:rsidR="008805F1" w:rsidRPr="008805F1">
        <w:rPr>
          <w:rFonts w:ascii="Garamond" w:eastAsia="Times New Roman" w:hAnsi="Garamond" w:cs="Times New Roman"/>
          <w:noProof/>
          <w:color w:val="000000"/>
          <w:lang w:val="id-ID" w:eastAsia="zh-CN"/>
        </w:rPr>
        <w:t>(Zhang et al., 2022)</w:t>
      </w:r>
      <w:r w:rsidRPr="00340533">
        <w:rPr>
          <w:rFonts w:ascii="Garamond" w:eastAsia="Times New Roman" w:hAnsi="Garamond" w:cs="Times New Roman"/>
          <w:color w:val="000000"/>
          <w:lang w:val="id-ID" w:eastAsia="zh-CN"/>
        </w:rPr>
        <w:fldChar w:fldCharType="end"/>
      </w:r>
      <w:r w:rsidRPr="00340533">
        <w:rPr>
          <w:rFonts w:ascii="Garamond" w:eastAsia="Times New Roman" w:hAnsi="Garamond" w:cs="Times New Roman"/>
          <w:color w:val="000000"/>
          <w:lang w:val="id-ID" w:eastAsia="zh-CN"/>
        </w:rPr>
        <w:t>.</w:t>
      </w:r>
    </w:p>
    <w:p w14:paraId="50B3152A" w14:textId="7C920E00" w:rsidR="00340533" w:rsidRPr="00340533" w:rsidRDefault="00340533" w:rsidP="00336BA2">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r w:rsidRPr="00340533">
        <w:rPr>
          <w:rFonts w:ascii="Garamond" w:eastAsia="Times New Roman" w:hAnsi="Garamond" w:cs="Times New Roman"/>
          <w:color w:val="000000"/>
          <w:lang w:val="id-ID" w:eastAsia="zh-CN"/>
        </w:rPr>
        <w:tab/>
      </w:r>
      <w:r>
        <w:rPr>
          <w:rFonts w:ascii="Garamond" w:eastAsia="Times New Roman" w:hAnsi="Garamond" w:cs="Times New Roman"/>
          <w:color w:val="000000"/>
          <w:lang w:val="id-ID" w:eastAsia="zh-CN"/>
        </w:rPr>
        <w:tab/>
      </w:r>
      <w:r w:rsidRPr="00340533">
        <w:rPr>
          <w:rFonts w:ascii="Garamond" w:eastAsia="Times New Roman" w:hAnsi="Garamond" w:cs="Times New Roman"/>
          <w:color w:val="000000"/>
          <w:lang w:val="id-ID" w:eastAsia="zh-CN"/>
        </w:rPr>
        <w:t xml:space="preserve">AI dalam pendidikan mengacu pada penerapan teknologi AI, seperti chatbots, sistem penandaan otomatis, sistem bimbingan cerdas, dan platform prediksi kinerja siswa yang mendukung dan meningkatkan pendidikan </w:t>
      </w:r>
      <w:r w:rsidRPr="00340533">
        <w:rPr>
          <w:rFonts w:ascii="Garamond" w:eastAsia="Times New Roman" w:hAnsi="Garamond" w:cs="Times New Roman"/>
          <w:color w:val="000000"/>
          <w:lang w:val="id-ID" w:eastAsia="zh-CN"/>
        </w:rPr>
        <w:fldChar w:fldCharType="begin" w:fldLock="1"/>
      </w:r>
      <w:r w:rsidR="008805F1">
        <w:rPr>
          <w:rFonts w:ascii="Garamond" w:eastAsia="Times New Roman" w:hAnsi="Garamond" w:cs="Times New Roman"/>
          <w:color w:val="000000"/>
          <w:lang w:val="id-ID" w:eastAsia="zh-CN"/>
        </w:rPr>
        <w:instrText>ADDIN CSL_CITATION {"citationItems":[{"id":"ITEM-1","itemData":{"DOI":"10.1007/S13218-021-00735-5/TABLES/3","ISSN":"16101987","abstract":"This paper describes the practical initiative to include Artificial Intelligence (AI) in the Spanish educational system’s curriculum at an early age. This proposal is in line with the current trend of introducing AI in school curricula all over the world. To this end, we propose an Artificial Intelligence workshop for middle schools within the existing subject, Technology, Programming and Robotics. In order to test the suitability of introducing AI at an early age, we conducted the activities at a bilingual middle school in Madrid. As evaluation tools, a quiz and motivational study of the students concerning AI was carried out using Situational Motivational Scale (SIMS) before and after introducing the activities. Responses of 84 students were analysed and the conclusion was reached that it is slightly better to introduce AI at an early age.","author":[{"dropping-particle":"","family":"Fernández-Martínez","given":"Carmen","non-dropping-particle":"","parse-names":false,"suffix":""},{"dropping-particle":"","family":"Hernán-Losada","given":"Isidoro","non-dropping-particle":"","parse-names":false,"suffix":""},{"dropping-particle":"","family":"Fernández","given":"Alberto","non-dropping-particle":"","parse-names":false,"suffix":""}],"container-title":"KI - Kunstliche Intelligenz","id":"ITEM-1","issue":"2","issued":{"date-parts":[["2021","6","1"]]},"page":"163-170","publisher":"Springer Science and Business Media Deutschland GmbH","title":"Early Introduction of AI in Spanish Middle Schools. A Motivational Study","type":"article-journal","volume":"35"},"uris":["http://www.mendeley.com/documents/?uuid=349f652b-3baa-365e-bfed-4696533f77bb"]}],"mendeley":{"formattedCitation":"(Fernández-Martínez et al., 2021)","plainTextFormattedCitation":"(Fernández-Martínez et al., 2021)","previouslyFormattedCitation":"(Fernández-Martínez et al., 2021)"},"properties":{"noteIndex":0},"schema":"https://github.com/citation-style-language/schema/raw/master/csl-citation.json"}</w:instrText>
      </w:r>
      <w:r w:rsidRPr="00340533">
        <w:rPr>
          <w:rFonts w:ascii="Garamond" w:eastAsia="Times New Roman" w:hAnsi="Garamond" w:cs="Times New Roman"/>
          <w:color w:val="000000"/>
          <w:lang w:val="id-ID" w:eastAsia="zh-CN"/>
        </w:rPr>
        <w:fldChar w:fldCharType="separate"/>
      </w:r>
      <w:r w:rsidR="008805F1" w:rsidRPr="008805F1">
        <w:rPr>
          <w:rFonts w:ascii="Garamond" w:eastAsia="Times New Roman" w:hAnsi="Garamond" w:cs="Times New Roman"/>
          <w:noProof/>
          <w:color w:val="000000"/>
          <w:lang w:val="id-ID" w:eastAsia="zh-CN"/>
        </w:rPr>
        <w:t>(Fernández-Martínez et al., 2021)</w:t>
      </w:r>
      <w:r w:rsidRPr="00340533">
        <w:rPr>
          <w:rFonts w:ascii="Garamond" w:eastAsia="Times New Roman" w:hAnsi="Garamond" w:cs="Times New Roman"/>
          <w:color w:val="000000"/>
          <w:lang w:val="id-ID" w:eastAsia="zh-CN"/>
        </w:rPr>
        <w:fldChar w:fldCharType="end"/>
      </w:r>
      <w:r w:rsidRPr="00340533">
        <w:rPr>
          <w:rFonts w:ascii="Garamond" w:eastAsia="Times New Roman" w:hAnsi="Garamond" w:cs="Times New Roman"/>
          <w:color w:val="000000"/>
          <w:lang w:val="id-ID" w:eastAsia="zh-CN"/>
        </w:rPr>
        <w:t xml:space="preserve">. Sebagian besar studi </w:t>
      </w:r>
      <w:r w:rsidRPr="00340533">
        <w:rPr>
          <w:rFonts w:ascii="Garamond" w:eastAsia="Times New Roman" w:hAnsi="Garamond" w:cs="Times New Roman"/>
          <w:color w:val="000000"/>
          <w:lang w:eastAsia="zh-CN"/>
        </w:rPr>
        <w:t>kecerdasarn buatan dalam dunia pendidikan</w:t>
      </w:r>
      <w:r w:rsidRPr="00340533">
        <w:rPr>
          <w:rFonts w:ascii="Garamond" w:eastAsia="Times New Roman" w:hAnsi="Garamond" w:cs="Times New Roman"/>
          <w:color w:val="000000"/>
          <w:lang w:val="id-ID" w:eastAsia="zh-CN"/>
        </w:rPr>
        <w:t xml:space="preserve"> berfokus pada pengembangan alat dan sistem AI yang melibatkan efektivitas algoritma pembelajaran, serta etika AI dan hak-hak dasar peserta didik yang menggunakan AI </w:t>
      </w:r>
      <w:r w:rsidRPr="00340533">
        <w:rPr>
          <w:rFonts w:ascii="Garamond" w:eastAsia="Times New Roman" w:hAnsi="Garamond" w:cs="Times New Roman"/>
          <w:color w:val="000000"/>
          <w:lang w:val="id-ID" w:eastAsia="zh-CN"/>
        </w:rPr>
        <w:fldChar w:fldCharType="begin" w:fldLock="1"/>
      </w:r>
      <w:r w:rsidR="008805F1">
        <w:rPr>
          <w:rFonts w:ascii="Garamond" w:eastAsia="Times New Roman" w:hAnsi="Garamond" w:cs="Times New Roman"/>
          <w:color w:val="000000"/>
          <w:lang w:val="id-ID" w:eastAsia="zh-CN"/>
        </w:rPr>
        <w:instrText>ADDIN CSL_CITATION {"citationItems":[{"id":"ITEM-1","itemData":{"DOI":"10.24059/olj.v25i1.2454","ISSN":"-2472-574","abstract":"In Hong Kong, after-school activities have long been used to foster friendships and to allow students to pursue their interests in an informal setting. This case study reports on a three-phase action research process in which information technology teachers delivered after-school activities focused on artificial intelligence during the COVID-19 transition to remote learning. Using semi-structured interviews, a motivational questionnaire, and lesson observations, this study describes how extracurricular activities were delivered online using social networking sites and how students perceived the new experience. Our results suggest that, in order to deploy meaningful activities via social media, teachers need to build collaborative environments that facilitate social engagement among students. These findings have implications for new practices in social media and other blended technologies, and can help students strike a healthy balance between their academic and non-academic life","author":[{"dropping-particle":"","family":"Tsz","given":"Davy","non-dropping-particle":"","parse-names":false,"suffix":""},{"dropping-particle":"","family":"Ng","given":"Kit","non-dropping-particle":"","parse-names":false,"suffix":""},{"dropping-particle":"","family":"Kai","given":"Samuel","non-dropping-particle":"","parse-names":false,"suffix":""},{"dropping-particle":"","family":"Chu","given":"Wah","non-dropping-particle":"","parse-names":false,"suffix":""}],"container-title":"Online Learning","id":"ITEM-1","issue":"1","issued":{"date-parts":[["2021","3"]]},"page":"195-208","publisher":"Online Learning Consortium, Inc. P.O. Box 1238, Newburyport, MA 01950. Tel: 888-898-6209; Fax: 888-898-6209; e-mail: olj@onlinelearning-c.org; Web site: https://olj.onlinelearningconsortium.org/index.php/olj/index","title":"Motivating Students to Learn AI through Social Networking Sites: A Case Study in Hong Kong.","type":"article-journal","volume":"25"},"uris":["http://www.mendeley.com/documents/?uuid=b5fa700d-7659-319d-a21d-0000c08166c9"]}],"mendeley":{"formattedCitation":"(Tsz et al., 2021)","plainTextFormattedCitation":"(Tsz et al., 2021)","previouslyFormattedCitation":"(Tsz et al., 2021)"},"properties":{"noteIndex":0},"schema":"https://github.com/citation-style-language/schema/raw/master/csl-citation.json"}</w:instrText>
      </w:r>
      <w:r w:rsidRPr="00340533">
        <w:rPr>
          <w:rFonts w:ascii="Garamond" w:eastAsia="Times New Roman" w:hAnsi="Garamond" w:cs="Times New Roman"/>
          <w:color w:val="000000"/>
          <w:lang w:val="id-ID" w:eastAsia="zh-CN"/>
        </w:rPr>
        <w:fldChar w:fldCharType="separate"/>
      </w:r>
      <w:r w:rsidR="008805F1" w:rsidRPr="008805F1">
        <w:rPr>
          <w:rFonts w:ascii="Garamond" w:eastAsia="Times New Roman" w:hAnsi="Garamond" w:cs="Times New Roman"/>
          <w:noProof/>
          <w:color w:val="000000"/>
          <w:lang w:val="id-ID" w:eastAsia="zh-CN"/>
        </w:rPr>
        <w:t>(Tsz et al., 2021)</w:t>
      </w:r>
      <w:r w:rsidRPr="00340533">
        <w:rPr>
          <w:rFonts w:ascii="Garamond" w:eastAsia="Times New Roman" w:hAnsi="Garamond" w:cs="Times New Roman"/>
          <w:color w:val="000000"/>
          <w:lang w:val="id-ID"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{"citationItems":[{"id":"ITEM-1","itemData":{"DOI":"10.1007/S10639-022-10925-9/TABLES/4","ISSN":"15737608","abstract":"As online learning has been widely adopted in higher education in recent years, artificial intelligence (AI) has brought new ways for improving instruction and learning in online higher education. However, there is a lack of literature reviews that focuses on the functions, effects, and implications of applying AI in the online higher education context. In addition, what AI algorithms are commonly used and how they influence online higher education remain unclear. To fill these gaps, this systematic review provides an overview of empirical research on the applications of AI in online higher education. Specifically, this literature review examines the functions of AI in empirical researches, the algorithms used in empirical researches and the effects and implications generated by empirical research. According to the screening criteria, out of the 434 initially identified articles for the period between 2011 and 2020, 32 articles are included for the final synthesis. Results find that: (1) the functions of AI applications in online higher education include prediction of learning status, performance or satisfaction, resource recommendation, automatic assessment, and improvement of learning experience; (2) traditional AI technologies are commonly adopted while more advanced techniques (e.g., genetic algorithm, deep learning) are rarely used yet; and (3) effects generated by AI applications include a high quality of AI-enabled prediction with multiple input variables, a high quality of AI-enabled recommendations based on student characteristics, an improvement of students’ academic performance, and an improvement of online engagement and participation. This systematic review proposes the following theoretical, technological, and practical implications: (1) the integration of educational and learning theories into AI-enabled online learning; (2) the adoption of advanced AI technologies to collect and analyze real-time process data; and (3) the implementation of more empirical research to test actual effects of AI applications in online higher education.","author":[{"dropping-particle":"","family":"Ouyang","given":"Fan","non-dropping-particle":"","parse-names":false,"suffix":""},{"dropping-particle":"","family":"Zheng","given":"Luyi","non-dropping-particle":"","parse-names":false,"suffix":""},{"dropping-particle":"","family":"Jiao","given":"Pengcheng","non-dropping-particle":"","parse-names":false,"suffix":""}],"container-title":"Education and Information Technologies","id":"ITEM-1","issue":"6","issued":{"date-parts":[["2022","7","1"]]},"page":"7893-7925","publisher":"Springer","title":"Artificial intelligence in online higher education: A systematic review of empirical research from 2011 to 2020","type":"article-journal","volume":"27"},"uris":["http://www.mendeley.com/documents/?uuid=8a1c7ebf-ddec-396e-a57d-4507bebb2d8d"]}],"mendeley":{"formattedCitation":"(Ouyang et al., 2022)","plainTextFormattedCitation":"(Ouyang et al., 2022)","previouslyFormattedCitation":"(Ouyang et al., 2022)"},"properties":{"noteIndex":0},"schema":"https://github.com/citation-style-language/schema/raw/master/csl-citation.json"}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(Ouyang et al., 2022)</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{"citationItems":[{"id":"ITEM-1","itemData":{"DOI":"10.1016/J.COMPEDU.2023.104862","ISSN":"0360-1315","abstract":"Recent advancements in artificial intelligence have led to the development of chatbots capable of engaging in argumentative dialogues and debates with human users. Although some studies have investigated the use of such chatbots to facilitate argumentation learning outside of the classroom, their integration into in-class learning activities remains largely unexplored. In this study, we developed a novel task design, chatbot-assisted in-class debates (CaIcD), for argumentation learning. In the task design, the students interacted with an argumentative chatbot named Argumate before engaging in debates with their classmates. During their interaction, the chatbot helped the students to generate ideas for supporting their position and predict opposing viewpoints. This study investigated the effects of CaIcD on students' argumentation skills and task motivation. Forty-four Chinese undergraduate students from two classes participated in this study. To examine the effects on argumentation skills in terms of structural complexity and argument quality, we used a pretest–posttest quasi-experimental design. Quade's test results revealed that participation in CaIcD enabled the students to use more claims, data, and warrants to generate arguments and participation in CaIcD led to more organised, sufficient, and elaborated arguments. However, no significant effects on overall structural complexity were found. Moreover, to understand the students' task motivation towards CaIcD, a within-subjects comparison design was employed. The results of the Wilcoxon signed-rank test indicated that the students had a higher level of enjoyment and exerted more effort when engaging in CaIcD than when performing conventional learning tasks. Moreover, the students perceived their performance in CaIcD to be as successful as that in conventional learning tasks, although the CaIcD task presented more challenges to them. However, no significant difference was observed in the students' perceived relevance of the two types of tasks to their argumentation learning. This study provides empirical evidence that integrating argumentative chatbots into classroom debates can lead to improved argumentation skills and higher task motivation among undergraduate students.","author":[{"dropping-particle":"","family":"Guo","given":"Kai","non-dropping-particle":"","parse-names":false,"suffix":""},{"dropping-particle":"","family":"Zhong","given":"Yuchun","non-dropping-particle":"","parse-names":false,"suffix":""},{"dropping-particle":"","family":"Li","given":"Danling","non-dropping-particle":"","parse-names":false,"suffix":""},{"dropping-particle":"","family":"Chu","given":"Samuel Kai Wah","non-dropping-particle":"","parse-names":false,"suffix":""}],"container-title":"Computers &amp; Education","id":"ITEM-1","issued":{"date-parts":[["2023","10","1"]]},"page":"104862","publisher":"Pergamon","title":"Effects of chatbot-assisted in-class debates on students’ argumentation skills and task motivation","type":"article-journal","volume":"203"},"uris":["http://www.mendeley.com/documents/?uuid=7f5f7f11-a09e-3bb5-8a68-430c4e16992f"]}],"mendeley":{"formattedCitation":"(Guo et al., 2023)","plainTextFormattedCitation":"(Guo et al., 2023)","previouslyFormattedCitation":"(Guo et al., 2023)"},"properties":{"noteIndex":0},"schema":"https://github.com/citation-style-language/schema/raw/master/csl-citation.json"}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(Guo et al., 2023)</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val="id-ID" w:eastAsia="zh-CN"/>
        </w:rPr>
        <w:t>. Tinjauan sistematis tentang AI-Educational Implemented menunjukkan bahwa teknologi AI telah diintegrasikan ke dalam empat domain pendidikan utama</w:t>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val="id-ID" w:eastAsia="zh-CN"/>
        </w:rPr>
        <w:t xml:space="preserve">pengajaran, pembelajaran, penilaian, dan administrasi </w:t>
      </w:r>
      <w:r w:rsidRPr="00340533">
        <w:rPr>
          <w:rFonts w:ascii="Garamond" w:eastAsia="Times New Roman" w:hAnsi="Garamond" w:cs="Times New Roman"/>
          <w:color w:val="000000"/>
          <w:lang w:val="id-ID" w:eastAsia="zh-CN"/>
        </w:rPr>
        <w:fldChar w:fldCharType="begin" w:fldLock="1"/>
      </w:r>
      <w:r w:rsidR="008805F1">
        <w:rPr>
          <w:rFonts w:ascii="Garamond" w:eastAsia="Times New Roman" w:hAnsi="Garamond" w:cs="Times New Roman"/>
          <w:color w:val="000000"/>
          <w:lang w:val="id-ID" w:eastAsia="zh-CN"/>
        </w:rPr>
        <w:instrText>ADDIN CSL_CITATION {"citationItems":[{"id":"ITEM-1","itemData":{"DOI":"10.1007/S10639-022-11547-X/METRICS","ISSN":"15737608","abstract":"Artificial intelligence (AI) has the potential to support self-regulated learning (SRL) because of its strong anthropomorphic characteristics. However, most studies of AI in education have focused on cognitive outcomes in higher education, and little research has examined how psychological needs affect SRL with AI in the K–12 setting. SRL is a self-directed process driven by psychological factors that can be explained by the three basic needs of self-determination theory (SDT), i.e., autonomy, competence, and relatedness. This study fills a research gap by examining the moderating effects of need satisfaction and gender in predicting SRL among Grade 9 students. The results indicate that girls perceive more need support than boys. In predicting SRL, satisfaction of the need for autonomy and competence is moderated by both gender and AI knowledge, whereas satisfaction of the need for relatedness is moderated by gender only. Particularly among girls, the effects of autonomy and competence more strongly predict SRL when AI knowledge is low. These findings confirm the gender differences in need satisfaction when predicting SRL with a chatbot. The findings have implications for both teacher instruction and the design and development of intelligent learning environments.","author":[{"dropping-particle":"","family":"Xia","given":"Qi","non-dropping-particle":"","parse-names":false,"suffix":""},{"dropping-particle":"","family":"Chiu","given":"Thomas K.F.","non-dropping-particle":"","parse-names":false,"suffix":""},{"dropping-particle":"","family":"Chai","given":"Ching Sing","non-dropping-particle":"","parse-names":false,"suffix":""}],"container-title":"Education and Information Technologies","id":"ITEM-1","issue":"7","issued":{"date-parts":[["2022","7","1"]]},"page":"8691-8713","publisher":"Springer","title":"The moderating effects of gender and need satisfaction on self-regulated learning through Artificial Intelligence (AI)","type":"article-journal","volume":"28"},"uris":["http://www.mendeley.com/documents/?uuid=67571282-5c7e-3055-94d4-d372867fabc3"]}],"mendeley":{"formattedCitation":"(Xia et al., 2022)","plainTextFormattedCitation":"(Xia et al., 2022)","previouslyFormattedCitation":"(Xia et al., 2022)"},"properties":{"noteIndex":0},"schema":"https://github.com/citation-style-language/schema/raw/master/csl-citation.json"}</w:instrText>
      </w:r>
      <w:r w:rsidRPr="00340533">
        <w:rPr>
          <w:rFonts w:ascii="Garamond" w:eastAsia="Times New Roman" w:hAnsi="Garamond" w:cs="Times New Roman"/>
          <w:color w:val="000000"/>
          <w:lang w:val="id-ID" w:eastAsia="zh-CN"/>
        </w:rPr>
        <w:fldChar w:fldCharType="separate"/>
      </w:r>
      <w:r w:rsidR="008805F1" w:rsidRPr="008805F1">
        <w:rPr>
          <w:rFonts w:ascii="Garamond" w:eastAsia="Times New Roman" w:hAnsi="Garamond" w:cs="Times New Roman"/>
          <w:noProof/>
          <w:color w:val="000000"/>
          <w:lang w:val="id-ID" w:eastAsia="zh-CN"/>
        </w:rPr>
        <w:t>(Xia et al., 2022)</w:t>
      </w:r>
      <w:r w:rsidRPr="00340533">
        <w:rPr>
          <w:rFonts w:ascii="Garamond" w:eastAsia="Times New Roman" w:hAnsi="Garamond" w:cs="Times New Roman"/>
          <w:color w:val="000000"/>
          <w:lang w:val="id-ID"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FF6B7E">
        <w:rPr>
          <w:rFonts w:ascii="Garamond" w:eastAsia="Times New Roman" w:hAnsi="Garamond" w:cs="Times New Roman"/>
          <w:color w:val="000000"/>
          <w:lang w:eastAsia="zh-CN"/>
        </w:rPr>
        <w:instrText>ADDIN CSL_CITATION {"citationItems":[{"id":"ITEM-1","itemData":{"DOI":"10.33487/EDUMASPUL.V7I1.6479","ISSN":"2580-0469","abstract":"Learning in the 21st century integrates various technological devices in carrying out a whole series of interaction processes between students and teachers with learning resources in a learning environment. Pre-service English teachers in 21st century must have knowledge as well as skills in using various technologies, both traditional and modern to facilitate learning and improve learning outcomes. This article aims to examine, explain and review the development of technological pedagogical and content knowledge (TPACK) for Pre-service English teachers in 21st century, in order to obtain an overview of the opportunities and challenges in implementing TPACK itself in the 21st Century Learning. This article using a systematic review method of books, journal articles, and other documents related to the topic of discussion. All sources were selected based on the publication year that was set, namely 2017-2022 so that accurate and up-to-date data could be obtained. The results of the study found that, TPACK is a new type of knowledge that must be mastered by pre-service English teachers to be able to integrate technology well in learning. TPACK can be used as a framework for designing teacher education curricula that are more in line with the era and demands of 21st century learning","author":[{"dropping-particle":"","family":"Liando","given":"Nihta Vera Frelly","non-dropping-particle":"","parse-names":false,"suffix":""},{"dropping-particle":"","family":"Tatipang","given":"Devilito Prasetyo","non-dropping-particle":"","parse-names":false,"suffix":""},{"dropping-particle":"","family":"Wuntu","given":"Ceisy Nita","non-dropping-particle":"","parse-names":false,"suffix":""}],"container-title":"Edumaspul: Jurnal Pendidikan","id":"ITEM-1","issue":"1","issued":{"date-parts":[["2023","3","1"]]},"page":"1799-1815","title":"TPACK Framework Towards 21st Century’s Pre-Service English Teachers: Opportunities and Challenges in Application","type":"article-journal","volume":"7"},"uris":["http://www.mendeley.com/documents/?uuid=f414bcba-ae78-3eba-95b3-ef4dedca439d"]}],"mendeley":{"formattedCitation":"(Liando, Tatipang, et al., 2023)","manualFormatting":"(Liando et al., 2023)","plainTextFormattedCitation":"(Liando, Tatipang, et al., 2023)","previouslyFormattedCitation":"(Liando, Tatipang, et al., 2023)"},"properties":{"noteIndex":0},"schema":"https://github.com/citation-style-language/schema/raw/master/csl-citation.json"}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(Liando</w:t>
      </w:r>
      <w:r w:rsidR="00FF6B7E">
        <w:rPr>
          <w:rFonts w:ascii="Garamond" w:eastAsia="Times New Roman" w:hAnsi="Garamond" w:cs="Times New Roman"/>
          <w:noProof/>
          <w:color w:val="000000"/>
          <w:lang w:eastAsia="zh-CN"/>
        </w:rPr>
        <w:t xml:space="preserve"> </w:t>
      </w:r>
      <w:r w:rsidR="008805F1" w:rsidRPr="008805F1">
        <w:rPr>
          <w:rFonts w:ascii="Garamond" w:eastAsia="Times New Roman" w:hAnsi="Garamond" w:cs="Times New Roman"/>
          <w:noProof/>
          <w:color w:val="000000"/>
          <w:lang w:eastAsia="zh-CN"/>
        </w:rPr>
        <w:t>et al., 2023)</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val="id-ID" w:eastAsia="zh-CN"/>
        </w:rPr>
        <w:t xml:space="preserve">. Misalnya, sistem bimbingan cerdas dapat merekomendasikan konten dan tugas subjek, dan strategi pengajaran; chatbots dapat </w:t>
      </w:r>
      <w:r w:rsidRPr="00340533">
        <w:rPr>
          <w:rFonts w:ascii="Garamond" w:eastAsia="Times New Roman" w:hAnsi="Garamond" w:cs="Times New Roman"/>
          <w:color w:val="000000"/>
          <w:lang w:val="id-ID" w:eastAsia="zh-CN"/>
        </w:rPr>
        <w:lastRenderedPageBreak/>
        <w:t xml:space="preserve">menawarkan; chatbots dapat memberikan umpan balik untuk mendorong pembelajaran yang diatur sendiri oleh siswa, dan menjawab pertanyaan siswa tentang administrasi; Sistem penandaan otomatis dapat menawarkan penilaian yang lebih efektif. Studi-studi ini telah menyoroti bahwa AI saat ini dalam penelitian pendidikan mencerminkan hubungan yang lemah dengan perspektif pedagogis atau pendekatan instruksional, dan mengabaikan tantangan multi-segi yang kompleks dan risiko belajar dan mengajar dengan AI </w:t>
      </w:r>
      <w:r w:rsidRPr="00340533">
        <w:rPr>
          <w:rFonts w:ascii="Garamond" w:eastAsia="Times New Roman" w:hAnsi="Garamond" w:cs="Times New Roman"/>
          <w:color w:val="000000"/>
          <w:lang w:val="id-ID" w:eastAsia="zh-CN"/>
        </w:rPr>
        <w:fldChar w:fldCharType="begin" w:fldLock="1"/>
      </w:r>
      <w:r w:rsidR="008805F1">
        <w:rPr>
          <w:rFonts w:ascii="Garamond" w:eastAsia="Times New Roman" w:hAnsi="Garamond" w:cs="Times New Roman"/>
          <w:color w:val="000000"/>
          <w:lang w:val="id-ID" w:eastAsia="zh-CN"/>
        </w:rPr>
        <w:instrText>ADDIN CSL_CITATION {"citationItems":[{"id":"ITEM-1","itemData":{"DOI":"10.1016/J.CHB.2018.08.027","ISSN":"0747-5632","abstract":"This study employs the Computers are Social Actors (CASA) paradigm to extend the predictions of Social Identity Theory (SIT) to human-robot interaction (HRI) in the context of instructional communication. SIT posits that individuals gain a sense of personal worth from the groups with which they identify. Previous research has demonstrated that age group identification is meaningful to individuals’ self-concepts. Results demonstrated that higher age identified students rated the older A.I. voice instructor (representing an out-group member) higher for credibility and social presence and reported more motivation to learn than those students with low age identification. Implications are discussed for SIT and design features of computerized voices.","author":[{"dropping-particle":"","family":"Edwards","given":"Chad","non-dropping-particle":"","parse-names":false,"suffix":""},{"dropping-particle":"","family":"Edwards","given":"Autumn","non-dropping-particle":"","parse-names":false,"suffix":""},{"dropping-particle":"","family":"Stoll","given":"Brett","non-dropping-particle":"","parse-names":false,"suffix":""},{"dropping-particle":"","family":"Lin","given":"Xialing","non-dropping-particle":"","parse-names":false,"suffix":""},{"dropping-particle":"","family":"Massey","given":"Noelle","non-dropping-particle":"","parse-names":false,"suffix":""}],"container-title":"Computers in Human Behavior","id":"ITEM-1","issued":{"date-parts":[["2019","1","1"]]},"page":"357-362","publisher":"Pergamon","title":"Evaluations of an artificial intelligence instructor's voice: Social Identity Theory in human-robot interactions","type":"article-journal","volume":"90"},"uris":["http://www.mendeley.com/documents/?uuid=2620e38f-a5c5-39d4-9d86-03b295914685"]}],"mendeley":{"formattedCitation":"(Edwards et al., 2019)","plainTextFormattedCitation":"(Edwards et al., 2019)","previouslyFormattedCitation":"(Edwards et al., 2019)"},"properties":{"noteIndex":0},"schema":"https://github.com/citation-style-language/schema/raw/master/csl-citation.json"}</w:instrText>
      </w:r>
      <w:r w:rsidRPr="00340533">
        <w:rPr>
          <w:rFonts w:ascii="Garamond" w:eastAsia="Times New Roman" w:hAnsi="Garamond" w:cs="Times New Roman"/>
          <w:color w:val="000000"/>
          <w:lang w:val="id-ID" w:eastAsia="zh-CN"/>
        </w:rPr>
        <w:fldChar w:fldCharType="separate"/>
      </w:r>
      <w:r w:rsidR="008805F1" w:rsidRPr="008805F1">
        <w:rPr>
          <w:rFonts w:ascii="Garamond" w:eastAsia="Times New Roman" w:hAnsi="Garamond" w:cs="Times New Roman"/>
          <w:noProof/>
          <w:color w:val="000000"/>
          <w:lang w:val="id-ID" w:eastAsia="zh-CN"/>
        </w:rPr>
        <w:t>(Edwards et al., 2019)</w:t>
      </w:r>
      <w:r w:rsidRPr="00340533">
        <w:rPr>
          <w:rFonts w:ascii="Garamond" w:eastAsia="Times New Roman" w:hAnsi="Garamond" w:cs="Times New Roman"/>
          <w:color w:val="000000"/>
          <w:lang w:val="id-ID"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{"citationItems":[{"id":"ITEM-1","itemData":{"DOI":"10.24191/AJUE.V17I3.14499","ISSN":"2600-9749","abstract":"The purpose of this study is twofold: 1) to develop a service-learning-based module training artificial intelligence (AI) subject (SLBM-TAIS), and 2) to evaluate the effect of SLBM-TAIS on preservice teachers' (PSTs‘) practical knowledge and motivation, as well as primary school students’ attitude towards AI in China. Participants of this study comprised 60 PSTs and 107 primary school students. The experimental research in this study followed the quasi-experimental non-randomized pretest and post-test control group design. The PSTs were divided into experimental and control groups, and the primary school students followed the same grouping. The PSTs in the experimental group taught AI subjects to the primary school students in the experimental group, while the PSTs in the control group taught AI subjects to the primary school students in the control group. The results of the study showed that SLBM-TAIS was effective in training PSTs to teach AI subjects to primary school students. Furthermore, the SLBM-TAIS developed in this study offered a unique technique for training PSTs and primary school students that could increase PSTs' practical knowledge and motivation, as well as primary school students' attitudes toward AI. The findings from this study are important in the field of educational psychology, and its contribution has several theoretical and practical implications.","author":[{"dropping-particle":"","family":"Pu","given":"Song","non-dropping-particle":"","parse-names":false,"suffix":""},{"dropping-particle":"","family":"Ahmad","given":"Nor Aniza","non-dropping-particle":"","parse-names":false,"suffix":""},{"dropping-particle":"","family":"Khambari","given":"Mas Nida Md","non-dropping-particle":"","parse-names":false,"suffix":""},{"dropping-particle":"","family":"Yap","given":"Ng Keng","non-dropping-particle":"","parse-names":false,"suffix":""},{"dropping-particle":"","family":"Ahrari","given":"Seyedali","non-dropping-particle":"","parse-names":false,"suffix":""}],"container-title":"Asian Journal of University Education","id":"ITEM-1","issue":"3","issued":{"date-parts":[["2021","8","1"]]},"page":"203-219","publisher":"UiTM Press","title":"Improvement of Pre-Service Teachers' Practical Knowledge and Motivation about Artificial Intelligence through a Service-learning-based Module in Guizhou, China: A Quasi-Experimental Study","type":"article-journal","volume":"17"},"uris":["http://www.mendeley.com/documents/?uuid=c0dd96d1-280b-3c03-b53f-5558b07d082e"]}],"mendeley":{"formattedCitation":"(Pu et al., 2021)","plainTextFormattedCitation":"(Pu et al., 2021)","previouslyFormattedCitation":"(Pu et al., 2021)"},"properties":{"noteIndex":0},"schema":"https://github.com/citation-style-language/schema/raw/master/csl-citation.json"}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(Pu et al., 2021)</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{"citationItems":[{"id":"ITEM-1","itemData":{"DOI":"10.1177/2096531120944929/ASSET/IMAGES/LARGE/10.1177_2096531120944929-FIG1.JPEG","ISSN":"26321742","abstract":"Purpose: This article aims to shed light on a latest education informatization policy blueprint in China, titled Education Informatization 2.0 Action Plan, which was promulgated by the Ministry of Education in China on April 18, 2018. Design/Approach/Methods: The study is an analytical policy review based on the policy documents, theoretical discussion, and development of practice. Findings: This new Chinese education informatization policy was driven by three factors: the promotion of education informatization 1.0 in China, the requirement of education modernization toward 2035, and the response to “Wisdom Education.” The framework for action can be summarized as “One Goal, Three Tasks, and Eight Actions.” The main features involve innovation-driven development rather than technology-driven development, committing to the expansion of digital educational resources rather than the digital presentation of textbooks, and aiming at improving teachers and students’ information literacy rather than the applied skills of information technology. The future vision of the plan involves building new models on talent cultivation, education service, and education governance. The new models on talent cultivation involve establishing “Wisdom Teaching” mode, learning mode, and intelligent learning environment supported by artificial intelligence technology. The new education service models entail building the admission and sharing mechanism of quality educational resources based on National Network for Education and the public service platform and system for educational resources by means of the cloud computing and artificial intelligence. The new education governance models involve achieving precise, flat, and humanized education governance. Originality/Value: This article entails expounding the motivation, framework for action, main features, and vision of the education informatization 2.0 in China, which will be helpful for learning and understanding the current background, stage, and future path of China’s education informatization.","author":[{"dropping-particle":"","family":"Yan","given":"Shouxuan","non-dropping-particle":"","parse-names":false,"suffix":""},{"dropping-particle":"","family":"Yang","given":"Yun","non-dropping-particle":"","parse-names":false,"suffix":""}],"container-title":"ECNU Review of Education","id":"ITEM-1","issue":"2","issued":{"date-parts":[["2021","6","1"]]},"page":"410-428","publisher":"SAGE Publications Ltd","title":"Education Informatization 2.0 in China: Motivation, Framework, and Vision","type":"article-journal","volume":"4"},"uris":["http://www.mendeley.com/documents/?uuid=13168ebf-b02d-3d4b-8fbf-4ec194ff0e13"]}],"mendeley":{"formattedCitation":"(Yan &amp; Yang, 2021)","plainTextFormattedCitation":"(Yan &amp; Yang, 2021)","previouslyFormattedCitation":"(Yan &amp; Yang, 2021)"},"properties":{"noteIndex":0},"schema":"https://github.com/citation-style-language/schema/raw/master/csl-citation.json"}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(Yan &amp; Yang, 2021)</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val="id-ID" w:eastAsia="zh-CN"/>
        </w:rPr>
        <w:t>. Bagaimana siswa berinteraksi dan menggunakan teknologi AI dengan cara pedagogis yang sehat masih belum jelas. Oleh karena itu, perlu untuk lebih memahami pemanfaatan AI di kelas saat ini.</w:t>
      </w:r>
    </w:p>
    <w:p w14:paraId="013FD83C" w14:textId="028D3495" w:rsidR="00340533" w:rsidRPr="00340533" w:rsidRDefault="00340533" w:rsidP="00336BA2">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eastAsia="zh-CN"/>
        </w:rPr>
      </w:pPr>
      <w:r w:rsidRPr="00340533">
        <w:rPr>
          <w:rFonts w:ascii="Garamond" w:eastAsia="Times New Roman" w:hAnsi="Garamond" w:cs="Times New Roman"/>
          <w:color w:val="000000"/>
          <w:lang w:eastAsia="zh-CN"/>
        </w:rPr>
        <w:tab/>
      </w:r>
      <w:r>
        <w:rPr>
          <w:rFonts w:ascii="Garamond" w:eastAsia="Times New Roman" w:hAnsi="Garamond" w:cs="Times New Roman"/>
          <w:color w:val="000000"/>
          <w:lang w:eastAsia="zh-CN"/>
        </w:rPr>
        <w:tab/>
      </w:r>
      <w:r w:rsidRPr="00340533">
        <w:rPr>
          <w:rFonts w:ascii="Garamond" w:eastAsia="Times New Roman" w:hAnsi="Garamond" w:cs="Times New Roman"/>
          <w:color w:val="000000"/>
          <w:lang w:eastAsia="zh-CN"/>
        </w:rPr>
        <w:t>Faktanya, m</w:t>
      </w:r>
      <w:r w:rsidRPr="00340533">
        <w:rPr>
          <w:rFonts w:ascii="Garamond" w:eastAsia="Times New Roman" w:hAnsi="Garamond" w:cs="Times New Roman"/>
          <w:color w:val="000000"/>
          <w:lang w:val="id-ID" w:eastAsia="zh-CN"/>
        </w:rPr>
        <w:t xml:space="preserve">otivasi belajar adalah kunci keberhasilan belajar </w:t>
      </w:r>
      <w:r w:rsidRPr="00340533">
        <w:rPr>
          <w:rFonts w:ascii="Garamond" w:eastAsia="Times New Roman" w:hAnsi="Garamond" w:cs="Times New Roman"/>
          <w:color w:val="000000"/>
          <w:lang w:val="id-ID" w:eastAsia="zh-CN"/>
        </w:rPr>
        <w:fldChar w:fldCharType="begin" w:fldLock="1"/>
      </w:r>
      <w:r w:rsidR="008805F1">
        <w:rPr>
          <w:rFonts w:ascii="Garamond" w:eastAsia="Times New Roman" w:hAnsi="Garamond" w:cs="Times New Roman"/>
          <w:color w:val="000000"/>
          <w:lang w:val="id-ID" w:eastAsia="zh-CN"/>
        </w:rPr>
        <w:instrText>ADDIN CSL_CITATION {"citationItems":[{"id":"ITEM-1","itemData":{"DOI":"10.1016/J.CAEAI.2023.100128","ISSN":"2666-920X","abstract":"The concept of Artificial Intelligence (AI), born as the possibility of simulating the human brain's learning capabilities, quickly evolves into one of the educational technology concepts that provide tools for students to better themselves in a plethora of areas. Unlike the previous educational technology iterations, which are limited to instrumental use for providing platforms to build learning applications, AI has proposed a unique education laboratory by enabling students to explore an instrument that functions as a dynamic system of computational concepts. However, the extent of the implications of AI adaptation in modern education is yet to be explored. Motivated to fill the literature gap and to consider the emerging significance of AI in education, this paper aims to analyze the possible intertwined relationship between students’ intrinsic motivation for learning Artificial Intelligence during the COVID-19 pandemic; the relationship between students’ computational thinking and understanding of AI concepts; and the underlying dynamic relation, if existing, between AI and computational thinking building efforts. To investigate the mentioned relationships, the present empirical study employs mediation analysis based upon collected 137 survey data from Universidad Politécnica de Madrid students in the Institute for Educational Science and the School of Naval Architecture and Marine Engineering during the first quarter of 2022. Findings show that intrinsic motivation mediates the relationship between perceived Artificial Intelligence learning and computational thinking. Also, the research indicates that intrinsic motivation has a significant relationship with computational thinking and perceived Artificial Intelligence learning.","author":[{"dropping-particle":"","family":"Martín-Núñez","given":"José Luis","non-dropping-particle":"","parse-names":false,"suffix":""},{"dropping-particle":"","family":"Ar","given":"Anil Yasin","non-dropping-particle":"","parse-names":false,"suffix":""},{"dropping-particle":"","family":"Fernández","given":"Rodrigo Pérez","non-dropping-particle":"","parse-names":false,"suffix":""},{"dropping-particle":"","family":"Abbas","given":"Asad","non-dropping-particle":"","parse-names":false,"suffix":""},{"dropping-particle":"","family":"Radovanović","given":"Danica","non-dropping-particle":"","parse-names":false,"suffix":""}],"container-title":"Computers and Education: Artificial Intelligence","id":"ITEM-1","issued":{"date-parts":[["2023","1","1"]]},"page":"100128","publisher":"Elsevier","title":"Does intrinsic motivation mediate perceived artificial intelligence (AI) learning and computational thinking of students during the COVID-19 pandemic?","type":"article-journal","volume":"4"},"uris":["http://www.mendeley.com/documents/?uuid=abc8cbc7-74d3-3f1c-b20a-094679199d0e"]}],"mendeley":{"formattedCitation":"(Martín-Núñez et al., 2023)","plainTextFormattedCitation":"(Martín-Núñez et al., 2023)","previouslyFormattedCitation":"(Martín-Núñez et al., 2023)"},"properties":{"noteIndex":0},"schema":"https://github.com/citation-style-language/schema/raw/master/csl-citation.json"}</w:instrText>
      </w:r>
      <w:r w:rsidRPr="00340533">
        <w:rPr>
          <w:rFonts w:ascii="Garamond" w:eastAsia="Times New Roman" w:hAnsi="Garamond" w:cs="Times New Roman"/>
          <w:color w:val="000000"/>
          <w:lang w:val="id-ID" w:eastAsia="zh-CN"/>
        </w:rPr>
        <w:fldChar w:fldCharType="separate"/>
      </w:r>
      <w:r w:rsidR="008805F1" w:rsidRPr="008805F1">
        <w:rPr>
          <w:rFonts w:ascii="Garamond" w:eastAsia="Times New Roman" w:hAnsi="Garamond" w:cs="Times New Roman"/>
          <w:noProof/>
          <w:color w:val="000000"/>
          <w:lang w:val="id-ID" w:eastAsia="zh-CN"/>
        </w:rPr>
        <w:t>(Martín-Núñez et al., 2023)</w:t>
      </w:r>
      <w:r w:rsidRPr="00340533">
        <w:rPr>
          <w:rFonts w:ascii="Garamond" w:eastAsia="Times New Roman" w:hAnsi="Garamond" w:cs="Times New Roman"/>
          <w:color w:val="000000"/>
          <w:lang w:val="id-ID" w:eastAsia="zh-CN"/>
        </w:rPr>
        <w:fldChar w:fldCharType="end"/>
      </w:r>
      <w:r w:rsidRPr="00340533">
        <w:rPr>
          <w:rFonts w:ascii="Garamond" w:eastAsia="Times New Roman" w:hAnsi="Garamond" w:cs="Times New Roman"/>
          <w:color w:val="000000"/>
          <w:lang w:val="id-ID" w:eastAsia="zh-CN"/>
        </w:rPr>
        <w:t xml:space="preserve">. Literatur mengungkapkan bahwa keterlibatan belajar </w:t>
      </w:r>
      <w:r w:rsidRPr="00340533">
        <w:rPr>
          <w:rFonts w:ascii="Garamond" w:eastAsia="Times New Roman" w:hAnsi="Garamond" w:cs="Times New Roman"/>
          <w:color w:val="000000"/>
          <w:lang w:val="id-ID" w:eastAsia="zh-CN"/>
        </w:rPr>
        <w:fldChar w:fldCharType="begin" w:fldLock="1"/>
      </w:r>
      <w:r w:rsidR="008805F1">
        <w:rPr>
          <w:rFonts w:ascii="Garamond" w:eastAsia="Times New Roman" w:hAnsi="Garamond" w:cs="Times New Roman"/>
          <w:color w:val="000000"/>
          <w:lang w:val="id-ID" w:eastAsia="zh-CN"/>
        </w:rPr>
        <w:instrText>ADDIN CSL_CITATION {"citationItems":[{"id":"ITEM-1","itemData":{"ISSN":"1021-3619","abstract":"Motivation and self-confidence are important aspects to increase engagement in learning and indirectly to conversation. The success of learning Indonesian can be seen from how students can convey their ideas and can connect with the other persons in communication, also, it can happen because of the balanced self-confidence and motivation. Therefore, this research article aims to study the relationship between motivation and self-confidence toward the ability to speak Bahasa Indonesia of foreign students who took an intensive Indonesian course. As to explain the correlation among speaking ability, motivation and self-confidence, the combined methods both qualitative and quantitative were applied. Thirty-eight participants participated in this study. At the end of the course, questionnaires were distributed to get information about motivation and self-confidence in speaking Indonesian. Additionally, the evaluation of their speaking ability was also collected for analysis of correlation. Both motivation and self-confidence highly correlated with speaking ability, with r=0.827, r=0.851, respectively. This finding shows that there is a significant correlation between motivation and self-confidence and their ability to speak bahasa Indonesia, students who had high motivation and good self-confidence managed to improve their speaking abilities. However, instructors should focus on building students' motivation and self-confidence by creating a supportive classroom environment that encourages students to talk as much as possible and participate in verbal activities without fear or embarrassment because students who are unmotivated and lack self-confidence are unsure of their speaking abilities. Therefore, further studies can be conducted to examine more specifically the causes of low motivation and causes of lack of confidence in the participants. Keywords: Indonesian, motivation, oral skill, self-confidence","author":[{"dropping-particle":"","family":"Liando","given":"Nihta V. F.","non-dropping-particle":"","parse-names":false,"suffix":""},{"dropping-particle":"","family":"Rorimpandey","given":"Rinny S.","non-dropping-particle":"","parse-names":false,"suffix":""},{"dropping-particle":"","family":"Kumayas","given":"Tirza A.","non-dropping-particle":"","parse-names":false,"suffix":""},{"dropping-particle":"","family":"Tatipang","given":"Devilito P.","non-dropping-particle":"","parse-names":false,"suffix":""}],"container-title":"Hong Kong Journal of Social Sciences","id":"ITEM-1","issued":{"date-parts":[["2022"]]},"title":"International Students' Motivation and Self-Confidence in Learning Indonesian","type":"article-journal","volume":"60"},"uris":["http://www.mendeley.com/documents/?uuid=2fabdb94-01b6-375e-9a2a-074497720d17"]}],"mendeley":{"formattedCitation":"(Liando, Rorimpandey, et al., 2022)","plainTextFormattedCitation":"(Liando, Rorimpandey, et al., 2022)","previouslyFormattedCitation":"(Liando, Rorimpandey, et al., 2022)"},"properties":{"noteIndex":0},"schema":"https://github.com/citation-style-language/schema/raw/master/csl-citation.json"}</w:instrText>
      </w:r>
      <w:r w:rsidRPr="00340533">
        <w:rPr>
          <w:rFonts w:ascii="Garamond" w:eastAsia="Times New Roman" w:hAnsi="Garamond" w:cs="Times New Roman"/>
          <w:color w:val="000000"/>
          <w:lang w:val="id-ID" w:eastAsia="zh-CN"/>
        </w:rPr>
        <w:fldChar w:fldCharType="separate"/>
      </w:r>
      <w:r w:rsidR="008805F1" w:rsidRPr="008805F1">
        <w:rPr>
          <w:rFonts w:ascii="Garamond" w:eastAsia="Times New Roman" w:hAnsi="Garamond" w:cs="Times New Roman"/>
          <w:noProof/>
          <w:color w:val="000000"/>
          <w:lang w:val="id-ID" w:eastAsia="zh-CN"/>
        </w:rPr>
        <w:t>(Liando, Rorimpandey, et al., 2022)</w:t>
      </w:r>
      <w:r w:rsidRPr="00340533">
        <w:rPr>
          <w:rFonts w:ascii="Garamond" w:eastAsia="Times New Roman" w:hAnsi="Garamond" w:cs="Times New Roman"/>
          <w:color w:val="000000"/>
          <w:lang w:val="id-ID"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FF6B7E">
        <w:rPr>
          <w:rFonts w:ascii="Garamond" w:eastAsia="Times New Roman" w:hAnsi="Garamond" w:cs="Times New Roman"/>
          <w:color w:val="000000"/>
          <w:lang w:eastAsia="zh-CN"/>
        </w:rPr>
        <w:instrText>ADDIN CSL_CITATION {"citationItems":[{"id":"ITEM-1","itemData":{"DOI":"10.17509/IJAL.V13I1.58270","ISSN":"2502-6747","abstract":"Teaching English as a foreign language (EFL) in Indonesia has its own complexity due to the multilingual situation and the broadly different levels of English proficiency.  To cope with this particular challenge, some Indonesian teachers tend to use a translanguaging method in teaching their students so that their classes are more interactive and engaging. In this case, translanguaging is a form of multilingual practice in the context of multilingual education where students are given equal rights to develop their language potential. Realizing the complexity of the learning process in a multilingual context, we aimed to reveal the types and purposes of Translanguaging in the learning process. This study used a qualitative method and data were collected through observations, interviews, and document analyses. This study shows that there were three types of translanguaging used by teachers during their teaching. The types of translanguaging are intra-sentential translanguaging, intersentential translanguaging, and tag translanguaging, with four purposes inform of strategies that are related to each other. It was also found that translanguaging is useful in the EFL learning processes because it can be used as a method to explain learning materials in a more convenient way to enhance students’ understanding.","author":[{"dropping-particle":"","family":"Liando","given":"Nihta V. F.","non-dropping-particle":"","parse-names":false,"suffix":""},{"dropping-particle":"","family":"Dallyono","given":"Ruswan","non-dropping-particle":"","parse-names":false,"suffix":""},{"dropping-particle":"","family":"Tatipang","given":"Devilito P.","non-dropping-particle":"","parse-names":false,"suffix":""},{"dropping-particle":"","family":"Lengkoan","given":"Fergina","non-dropping-particle":"","parse-names":false,"suffix":""}],"container-title":"Indonesian Journal of Applied Linguistics","id":"ITEM-1","issue":"1","issued":{"date-parts":[["2023","5","31"]]},"title":"Among English, Indonesian and local language: Translanguaging practices in an Indonesian EFL classroom","type":"article-journal","volume":"13"},"uris":["http://www.mendeley.com/documents/?uuid=1b231228-2315-37bd-ad6e-4f36723e9925"]}],"mendeley":{"formattedCitation":"(Liando, Dallyono, et al., 2023)","manualFormatting":"(Liando et al., 2023)","plainTextFormattedCitation":"(Liando, Dallyono, et al., 2023)","previouslyFormattedCitation":"(Liando, Dallyono, et al., 2023)"},"properties":{"noteIndex":0},"schema":"https://github.com/citation-style-language/schema/raw/master/csl-citation.json"}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(Liando</w:t>
      </w:r>
      <w:r w:rsidR="00FF6B7E">
        <w:rPr>
          <w:rFonts w:ascii="Garamond" w:eastAsia="Times New Roman" w:hAnsi="Garamond" w:cs="Times New Roman"/>
          <w:noProof/>
          <w:color w:val="000000"/>
          <w:lang w:eastAsia="zh-CN"/>
        </w:rPr>
        <w:t xml:space="preserve"> </w:t>
      </w:r>
      <w:r w:rsidR="008805F1" w:rsidRPr="008805F1">
        <w:rPr>
          <w:rFonts w:ascii="Garamond" w:eastAsia="Times New Roman" w:hAnsi="Garamond" w:cs="Times New Roman"/>
          <w:noProof/>
          <w:color w:val="000000"/>
          <w:lang w:eastAsia="zh-CN"/>
        </w:rPr>
        <w:t>et al., 2023)</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10.20884/1.jli.2022.13.1.4301","author":[{"dropping-particle":"","family":"Lengkoan","given":"Fergina","non-dropping-particle":"","parse-names":false,"suffix":""},{"dropping-particle":"","family":"Rombepajung","given":"Paula","non-dropping-particle":"","parse-names":false,"suffix":""}],"container-title":"Jurnal Lingua Idea","id":"ITEM-1","issue":"1","issued":{"date-parts":[["2022"]]},"title":"Teachers’ Perception of Online Learning in The Pandemic Era","type":"article-journal","volume":"13"},"uris":["http://www.mendeley.com/documents/?uuid=23a28678-634e-411c-a1bc-43af9d41ba02"]}],"mendeley":{"formattedCitation":"(Lengkoan &amp; Rombepajung, 2022)","plainTextFormattedCitation":"(Lengkoan &amp; Rombepajung, 2022)","previouslyFormattedCitation":"(Lengkoan &amp; Rombepajung, 2022)"},"properties":{"noteIndex":0},"schema":"https://github.com/citation-style-language/schema/raw/master/csl-citation.json"}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(Lengkoan &amp; Rombepajung, 2022)</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val="id-ID" w:eastAsia="zh-CN"/>
        </w:rPr>
        <w:t xml:space="preserve"> dan hasil belajar </w:t>
      </w:r>
      <w:r w:rsidRPr="00340533">
        <w:rPr>
          <w:rFonts w:ascii="Garamond" w:eastAsia="Times New Roman" w:hAnsi="Garamond" w:cs="Times New Roman"/>
          <w:color w:val="000000"/>
          <w:lang w:val="id-ID" w:eastAsia="zh-CN"/>
        </w:rPr>
        <w:fldChar w:fldCharType="begin" w:fldLock="1"/>
      </w:r>
      <w:r w:rsidR="008805F1">
        <w:rPr>
          <w:rFonts w:ascii="Garamond" w:eastAsia="Times New Roman" w:hAnsi="Garamond" w:cs="Times New Roman"/>
          <w:color w:val="000000"/>
          <w:lang w:val="id-ID" w:eastAsia="zh-CN"/>
        </w:rPr>
        <w:instrText>ADDIN CSL_CITATION {"citationItems":[{"id":"ITEM-1","itemData":{"DOI":"10.31000/GLOBISH.V11I1.5106","ISSN":"2597-9132","abstract":"The purpose of this study is to describe listening comprehension problems faced by students when taking the TOEFL-like test. This research is a descriptive research. This research is also categorized as a survey, the broad area of survey research encompasses any measurement procedures that involves asking questions of respondents. Furthermore, the researcher gave questions to the sample in form of questionnaire to get the data about listening problem faced by students taking TOEFL-like. In this research, the researcher used the questionnaire to collect the data. After discussion in the previous chapter, finally leads the researcher to make conclusion from what have been already discussed. The conclusion is among the twenty indicators, all the indicators came from various sides, such as: students' side, TOEFL organizer, material, listening equipment and another supported thing that related to the activity on TOEFL test especially listening skills.","author":[{"dropping-particle":"","family":"Lengkoan","given":"Fergina","non-dropping-particle":"","parse-names":false,"suffix":""},{"dropping-particle":"","family":"Andries","given":"Fivy A.","non-dropping-particle":"","parse-names":false,"suffix":""},{"dropping-particle":"","family":"Tatipang","given":"Devilito P.","non-dropping-particle":"","parse-names":false,"suffix":""}],"container-title":"Globish: An English-Indonesian Journal for English, Education, and Culture","id":"ITEM-1","issue":"1","issued":{"date-parts":[["2022","1","10"]]},"page":"41-50","title":"A STUDY ON LISTENING PROBLEMS FACED BY STUDENTS OF HIGHER EDUCATION","type":"article-journal","volume":"11"},"uris":["http://www.mendeley.com/documents/?uuid=9e4f0dfd-ea99-35c1-81c3-96d2acf94fbe"]}],"mendeley":{"formattedCitation":"(Lengkoan et al., 2022)","plainTextFormattedCitation":"(Lengkoan et al., 2022)","previouslyFormattedCitation":"(Lengkoan et al., 2022)"},"properties":{"noteIndex":0},"schema":"https://github.com/citation-style-language/schema/raw/master/csl-citation.json"}</w:instrText>
      </w:r>
      <w:r w:rsidRPr="00340533">
        <w:rPr>
          <w:rFonts w:ascii="Garamond" w:eastAsia="Times New Roman" w:hAnsi="Garamond" w:cs="Times New Roman"/>
          <w:color w:val="000000"/>
          <w:lang w:val="id-ID" w:eastAsia="zh-CN"/>
        </w:rPr>
        <w:fldChar w:fldCharType="separate"/>
      </w:r>
      <w:r w:rsidR="008805F1" w:rsidRPr="008805F1">
        <w:rPr>
          <w:rFonts w:ascii="Garamond" w:eastAsia="Times New Roman" w:hAnsi="Garamond" w:cs="Times New Roman"/>
          <w:noProof/>
          <w:color w:val="000000"/>
          <w:lang w:val="id-ID" w:eastAsia="zh-CN"/>
        </w:rPr>
        <w:t>(Lengkoan et al., 2022)</w:t>
      </w:r>
      <w:r w:rsidRPr="00340533">
        <w:rPr>
          <w:rFonts w:ascii="Garamond" w:eastAsia="Times New Roman" w:hAnsi="Garamond" w:cs="Times New Roman"/>
          <w:color w:val="000000"/>
          <w:lang w:val="id-ID"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{"citationItems":[{"id":"ITEM-1","itemData":{"DOI":"10.23887/jpbi.v10i1.4","ISSN":"2614-1892","abstract":"This study aimed to analyze EFL students' perceptions of the characteristics of the English language teachers and find out whether there is any difference in the student perceptions of the characteristics of effective English teachers based on gender. This study is quantitative. The research design used in this study is the descriptive and comparative research design. The descriptive design was used because the purpose is to examine and describe the students' perceptions of the characteristics of effective English language teachers. The questionnaires also consist of the respondents' profiles such as gender and 24 modified items of questions regarding students' perceptions of the characteristics of effective English teachers. This study involved 120 respondents from grade 11 of science, social, and Language class. The results of this study showed that students' perceptions of the characteristics of effective English teachers were found to be high involvement since the mean score was 3.08. The result of this study also found that there was no significant difference in the EFL Students' perceptions of the characteristics of effective English teachers based on gender since the result got p= 0.018. Another result of this study found that socio-affective skills are the distinctive characteristic that teachers must have to call an effective English teacher since the mean score was 3.45.","author":[{"dropping-particle":"","family":"Tatipang","given":"Devilito Prasetyo","non-dropping-particle":"","parse-names":false,"suffix":""},{"dropping-particle":"","family":"Manuas","given":"Maissy J","non-dropping-particle":"","parse-names":false,"suffix":""},{"dropping-particle":"","family":"Wuntu","given":"Ceisy Nita","non-dropping-particle":"","parse-names":false,"suffix":""},{"dropping-particle":"","family":"Rorintulus","given":"Olga A","non-dropping-particle":"","parse-names":false,"suffix":""},{"dropping-particle":"","family":"Lengkoan","given":"Fergina","non-dropping-particle":"","parse-names":false,"suffix":""}],"container-title":"Jurnal Pendidikan Bahasa Inggris Undiksha","id":"ITEM-1","issue":"1","issued":{"date-parts":[["2022"]]},"page":"23-30","title":"EFL Students' Perceptions of the Effective English Teacher Characteristics","type":"article-journal","volume":"10"},"uris":["http://www.mendeley.com/documents/?uuid=1db88bb7-d192-3ba8-85f9-edbc0833342d"]}],"mendeley":{"formattedCitation":"(Tatipang et al., 2022)","plainTextFormattedCitation":"(Tatipang et al., 2022)","previouslyFormattedCitation":"(Tatipang et al., 2022)"},"properties":{"noteIndex":0},"schema":"https://github.com/citation-style-language/schema/raw/master/csl-citation.json"}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(Tatipang et al., 2022)</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val="id-ID" w:eastAsia="zh-CN"/>
        </w:rPr>
        <w:t xml:space="preserve"> dapat mempengaruhi motivasi belajar peserta didik. </w:t>
      </w:r>
      <w:r w:rsidRPr="00340533">
        <w:rPr>
          <w:rFonts w:ascii="Garamond" w:eastAsia="Times New Roman" w:hAnsi="Garamond" w:cs="Times New Roman"/>
          <w:color w:val="000000"/>
          <w:lang w:val="id-ID" w:eastAsia="zh-CN"/>
        </w:rPr>
        <w:fldChar w:fldCharType="begin" w:fldLock="1"/>
      </w:r>
      <w:r w:rsidR="008805F1">
        <w:rPr>
          <w:rFonts w:ascii="Garamond" w:eastAsia="Times New Roman" w:hAnsi="Garamond" w:cs="Times New Roman"/>
          <w:color w:val="000000"/>
          <w:lang w:val="id-ID" w:eastAsia="zh-CN"/>
        </w:rPr>
        <w:instrText>ADDIN CSL_CITATION {"citationItems":[{"id":"ITEM-1","itemData":{"DOI":"10.18608/jla.2023.7801","ISSN":"1929-7750","abstract":"Ethical considerations, including transparency, play an important role when using artificial intelligence (AI) in education. Explainable AI has been coined as a solution to provide more insight into the inner workings of AI algorithms. However, carefully designed user studies on how to design explanations for AI in education are still limited. The current study aimed to identify the effect of explanations of an automated essay scoring system on students’ trust and motivation. The explanations were designed using a needs-elicitation study with students in combination with guidelines and frameworks of explainable AI. Two types of explanations were tested: full-text global explanations and an accuracy statement. The results showed that both explanations did not have an effect on student trust or motivation compared to no explanations. Interestingly, the grade provided by the system, and especially the difference between the student’s self-estimated grade and the system grade, showed a large influence. Hence, it is important to consider the effects of the outcome of the system (here: grade) when considering the effect of explanations of AI in education.","author":[{"dropping-particle":"","family":"Conijn","given":"Rianne","non-dropping-particle":"","parse-names":false,"suffix":""},{"dropping-particle":"","family":"Kahr","given":"Patricia","non-dropping-particle":"","parse-names":false,"suffix":""},{"dropping-particle":"","family":"Snijders","given":"Chris","non-dropping-particle":"","parse-names":false,"suffix":""}],"container-title":"Journal of Learning Analytics","id":"ITEM-1","issue":"1","issued":{"date-parts":[["2023","3","12"]]},"page":"37-53","publisher":"Society for Learning Analytics Research (SOLAR)","title":"The Effects of Explanations in Automated Essay Scoring Systems on Student Trust and Motivation","type":"article-journal","volume":"10"},"uris":["http://www.mendeley.com/documents/?uuid=71112968-e92b-3d41-aec1-107e5ceab6ef"]}],"mendeley":{"formattedCitation":"(Conijn et al., 2023)","plainTextFormattedCitation":"(Conijn et al., 2023)","previouslyFormattedCitation":"(Conijn et al., 2023)"},"properties":{"noteIndex":0},"schema":"https://github.com/citation-style-language/schema/raw/master/csl-citation.json"}</w:instrText>
      </w:r>
      <w:r w:rsidRPr="00340533">
        <w:rPr>
          <w:rFonts w:ascii="Garamond" w:eastAsia="Times New Roman" w:hAnsi="Garamond" w:cs="Times New Roman"/>
          <w:color w:val="000000"/>
          <w:lang w:val="id-ID" w:eastAsia="zh-CN"/>
        </w:rPr>
        <w:fldChar w:fldCharType="separate"/>
      </w:r>
      <w:r w:rsidR="008805F1" w:rsidRPr="008805F1">
        <w:rPr>
          <w:rFonts w:ascii="Garamond" w:eastAsia="Times New Roman" w:hAnsi="Garamond" w:cs="Times New Roman"/>
          <w:noProof/>
          <w:color w:val="000000"/>
          <w:lang w:val="id-ID" w:eastAsia="zh-CN"/>
        </w:rPr>
        <w:t>(Conijn et al., 2023)</w:t>
      </w:r>
      <w:r w:rsidRPr="00340533">
        <w:rPr>
          <w:rFonts w:ascii="Garamond" w:eastAsia="Times New Roman" w:hAnsi="Garamond" w:cs="Times New Roman"/>
          <w:color w:val="000000"/>
          <w:lang w:val="id-ID"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val="id-ID" w:eastAsia="zh-CN"/>
        </w:rPr>
        <w:t xml:space="preserve">melaporkan bahwa keterlibatan belajar siswa adalah prediktor kuat motivasi belajar (dan sebaliknya). Selanjutnya, </w:t>
      </w:r>
      <w:r w:rsidRPr="00340533">
        <w:rPr>
          <w:rFonts w:ascii="Garamond" w:eastAsia="Times New Roman" w:hAnsi="Garamond" w:cs="Times New Roman"/>
          <w:color w:val="000000"/>
          <w:lang w:val="id-ID" w:eastAsia="zh-CN"/>
        </w:rPr>
        <w:fldChar w:fldCharType="begin" w:fldLock="1"/>
      </w:r>
      <w:r w:rsidR="008805F1">
        <w:rPr>
          <w:rFonts w:ascii="Garamond" w:eastAsia="Times New Roman" w:hAnsi="Garamond" w:cs="Times New Roman"/>
          <w:color w:val="000000"/>
          <w:lang w:val="id-ID" w:eastAsia="zh-CN"/>
        </w:rPr>
        <w:instrText>ADDIN CSL_CITATION {"citationItems":[{"id":"ITEM-1","itemData":{"DOI":"10.1186/S41239-019-0171-0","ISSN":"2365-9440","abstract":"According to various international reports, Artificial Intelligence in Education (AIEd) is one of the currently emerging fields in educational technology. Whilst it has been around for about 30</w:instrText>
      </w:r>
      <w:r w:rsidR="008805F1">
        <w:rPr>
          <w:rFonts w:ascii="Times New Roman" w:eastAsia="Times New Roman" w:hAnsi="Times New Roman" w:cs="Times New Roman"/>
          <w:color w:val="000000"/>
          <w:lang w:val="id-ID" w:eastAsia="zh-CN"/>
        </w:rPr>
        <w:instrText> </w:instrText>
      </w:r>
      <w:r w:rsidR="008805F1">
        <w:rPr>
          <w:rFonts w:ascii="Garamond" w:eastAsia="Times New Roman" w:hAnsi="Garamond" w:cs="Times New Roman"/>
          <w:color w:val="000000"/>
          <w:lang w:val="id-ID" w:eastAsia="zh-CN"/>
        </w:rPr>
        <w:instrText>years, it is still unclear for educators how to make pedagogical advantage of it on a broader scale, and how it can actually impact meaningfully on teaching and learning in higher education. This paper seeks to provide an overview of research on AI applications in higher education through a systematic review. Out of 2656 initially identified publications for the period between 2007 and 2018, 146 articles were included for final synthesis, according to explicit inclusion and exclusion criteria. The descriptive results show that most of the disciplines involved in AIEd papers come from Computer Science and STEM, and that quantitative methods were the most frequently used in empirical studies. The synthesis of results presents four areas of AIEd applications in academic support services, and institutional and administrative services: 1. profiling and prediction, 2. assessment and evaluation, 3. adaptive systems and personalisation, and 4. intelligent tutoring systems. The conclusions reflect on the almost lack of critical reflection of challenges and risks of AIEd, the weak connection to theoretical pedagogical perspectives, and the need for further exploration of ethical and educational approaches in the application of AIEd in higher education.","author":[{"dropping-particle":"","family":"Zawacki-Richter","given":"Olaf","non-dropping-particle":"","parse-names":false,"suffix":""},{"dropping-particle":"","family":"Marín","given":"Victoria I.","non-dropping-particle":"","parse-names":false,"suffix":""},{"dropping-particle":"","family":"Bond","given":"Melissa","non-dropping-particle":"","parse-names":false,"suffix":""},{"dropping-particle":"","family":"Gouverneur","given":"Franziska","non-dropping-particle":"","parse-names":false,"suffix":""}],"container-title":"International Journal of Educational Technology in Higher Education 2019 16:1","id":"ITEM-1","issue":"1","issued":{"date-parts":[["2019","10","28"]]},"page":"1-27","publisher":"SpringerOpen","title":"Systematic review of research on artificial intelligence applications in higher education – where are the educators?","type":"article-journal","volume":"16"},"uris":["http://www.mendeley.com/documents/?uuid=65bbaf45-96de-390f-96be-ec060fc70bf5"]}],"mendeley":{"formattedCitation":"(Zawacki-Richter et al., 2019)","plainTextFormattedCitation":"(Zawacki-Richter et al., 2019)","previouslyFormattedCitation":"(Zawacki-Richter et al., 2019)"},"properties":{"noteIndex":0},"schema":"https://github.com/citation-style-language/schema/raw/master/csl-citation.json"}</w:instrText>
      </w:r>
      <w:r w:rsidRPr="00340533">
        <w:rPr>
          <w:rFonts w:ascii="Garamond" w:eastAsia="Times New Roman" w:hAnsi="Garamond" w:cs="Times New Roman"/>
          <w:color w:val="000000"/>
          <w:lang w:val="id-ID" w:eastAsia="zh-CN"/>
        </w:rPr>
        <w:fldChar w:fldCharType="separate"/>
      </w:r>
      <w:r w:rsidR="008805F1" w:rsidRPr="008805F1">
        <w:rPr>
          <w:rFonts w:ascii="Garamond" w:eastAsia="Times New Roman" w:hAnsi="Garamond" w:cs="Times New Roman"/>
          <w:noProof/>
          <w:color w:val="000000"/>
          <w:lang w:val="id-ID" w:eastAsia="zh-CN"/>
        </w:rPr>
        <w:t>(Zawacki-Richter et al., 2019)</w:t>
      </w:r>
      <w:r w:rsidRPr="00340533">
        <w:rPr>
          <w:rFonts w:ascii="Garamond" w:eastAsia="Times New Roman" w:hAnsi="Garamond" w:cs="Times New Roman"/>
          <w:color w:val="000000"/>
          <w:lang w:val="id-ID"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{"citationItems":[{"id":"ITEM-1","itemData":{"DOI":"10.1007/S40593-022-00326-X/TABLES/8","ISSN":"15604306","abstract":"Personalized gamification aims to address shortcomings of the one-size-fits-all (OSFA) approach in improving students’ motivations throughout the learning process. However, studies still focus on personalizing to a single user dimension, ignoring multiple individual and contextual factors that affect user motivation. Unlike prior research, we address this issue by exploring multidimensional personalization compared to OSFA based on a multi-institution sample. Thus, we conducted a controlled experiment in three institutions, comparing gamification designs (OSFA and Personalized to the learning task and users’ gaming habits/preferences and demographics) in terms of 58 students’ motivations to complete assessments for learning. Our results suggest no significant differences among OSFA and Personalized designs, despite suggesting user motivation depended on fewer user characteristics when using personalization. Additionally, exploratory analyses suggest personalization was positive for females and those holding a technical degree, but negative for those who prefer adventure games and those who prefer single-playing. Our contribution benefits designers, suggesting how personalization works; practitioners, demonstrating to whom the personalization strategy was more or less suitable; and researchers, providing future research directions.","author":[{"dropping-particle":"","family":"Rodrigues","given":"Luiz","non-dropping-particle":"","parse-names":false,"suffix":""},{"dropping-particle":"","family":"Palomino","given":"Paula T.","non-dropping-particle":"","parse-names":false,"suffix":""},{"dropping-particle":"","family":"Toda","given":"Armando M.","non-dropping-particle":"","parse-names":false,"suffix":""},{"dropping-particle":"","family":"Klock","given":"Ana C.T.","non-dropping-particle":"","parse-names":false,"suffix":""},{"dropping-particle":"","family":"Pessoa","given":"Marcela","non-dropping-particle":"","parse-names":false,"suffix":""},{"dropping-particle":"","family":"Pereira","given":"Filipe D.","non-dropping-particle":"","parse-names":false,"suffix":""},{"dropping-particle":"","family":"Oliveira","given":"Elaine H.T.","non-dropping-particle":"","parse-names":false,"suffix":""},{"dropping-particle":"","family":"Oliveira","given":"David F.","non-dropping-particle":"","parse-names":false,"suffix":""},{"dropping-particle":"","family":"Cristea","given":"Alexandra I.","non-dropping-particle":"","parse-names":false,"suffix":""},{"dropping-particle":"","family":"Gasparini","given":"Isabela","non-dropping-particle":"","parse-names":false,"suffix":""},{"dropping-particle":"","family":"Isotani","given":"Seiji","non-dropping-particle":"","parse-names":false,"suffix":""}],"container-title":"International Journal of Artificial Intelligence in Education","id":"ITEM-1","issued":{"date-parts":[["2023","1","10"]]},"page":"1-38","publisher":"Springer","title":"How Personalization Affects Motivation in Gamified Review Assessments","type":"article-journal"},"uris":["http://www.mendeley.com/documents/?uuid=c07287f5-d219-3bb1-be69-68821f0844f3"]}],"mendeley":{"formattedCitation":"(Rodrigues et al., 2023)","plainTextFormattedCitation":"(Rodrigues et al., 2023)","previouslyFormattedCitation":"(Rodrigues et al., 2023)"},"properties":{"noteIndex":0},"schema":"https://github.com/citation-style-language/schema/raw/master/csl-citation.json"}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(Rodrigues et al., 2023)</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{"citationItems":[{"id":"ITEM-1","itemData":{"DOI":"10.53682/eclue.v9i1.1894","author":[{"dropping-particle":"","family":"Lumentut","given":"Yuliana Lineke","non-dropping-particle":"","parse-names":false,"suffix":""},{"dropping-particle":"","family":"Lengkoan","given":"Fergina","non-dropping-particle":"","parse-names":false,"suffix":""}],"container-title":"E-Clue Journal of English, Culture, Language, Literature,and Education","id":"ITEM-1","issue":"1","issued":{"date-parts":[["2021"]]},"page":"17-29","title":"THE RELATIONSHIPS OFPSYCHOLINGUISTICS IN ACQUISITION AND LANGUAGE LEARNING","type":"article-journal","volume":"9"},"uris":["http://www.mendeley.com/documents/?uuid=a383cd9d-0182-4fd1-a0d6-97ef2a14206d"]}],"mendeley":{"formattedCitation":"(Lumentut &amp; Lengkoan, 2021)","plainTextFormattedCitation":"(Lumentut &amp; Lengkoan, 2021)","previouslyFormattedCitation":"(Lumentut &amp; Lengkoan, 2021)"},"properties":{"noteIndex":0},"schema":"https://github.com/citation-style-language/schema/raw/master/csl-citation.json"}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(Lumentut &amp; Lengkoan, 2021)</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val="id-ID" w:eastAsia="zh-CN"/>
        </w:rPr>
        <w:t xml:space="preserve">menunjukkan bahwa strategi pengajaran eksplisit dapat meningkatkan motivasi belajar dan hasil belajar; Temuan ini menyiratkan bahwa motivasi belajar dan hasil belajar berkorelasi. Pendidik semakin mengadopsi pendekatan pendidikan yang menarik seperti pembelajaran berbasis permainan </w:t>
      </w:r>
      <w:r w:rsidRPr="00340533">
        <w:rPr>
          <w:rFonts w:ascii="Garamond" w:eastAsia="Times New Roman" w:hAnsi="Garamond" w:cs="Times New Roman"/>
          <w:color w:val="000000"/>
          <w:lang w:val="id-ID" w:eastAsia="zh-CN"/>
        </w:rPr>
        <w:fldChar w:fldCharType="begin" w:fldLock="1"/>
      </w:r>
      <w:r w:rsidR="008805F1">
        <w:rPr>
          <w:rFonts w:ascii="Garamond" w:eastAsia="Times New Roman" w:hAnsi="Garamond" w:cs="Times New Roman"/>
          <w:color w:val="000000"/>
          <w:lang w:val="id-ID" w:eastAsia="zh-CN"/>
        </w:rPr>
        <w:instrText>ADDIN CSL_CITATION {"citationItems":[{"id":"ITEM-1","itemData":{"DOI":"10.1016/J.CHB.2018.08.027","ISSN":"0747-5632","abstract":"This study employs the Computers are Social Actors (CASA) paradigm to extend the predictions of Social Identity Theory (SIT) to human-robot interaction (HRI) in the context of instructional communication. SIT posits that individuals gain a sense of personal worth from the groups with which they identify. Previous research has demonstrated that age group identification is meaningful to individuals’ self-concepts. Results demonstrated that higher age identified students rated the older A.I. voice instructor (representing an out-group member) higher for credibility and social presence and reported more motivation to learn than those students with low age identification. Implications are discussed for SIT and design features of computerized voices.","author":[{"dropping-particle":"","family":"Edwards","given":"Chad","non-dropping-particle":"","parse-names":false,"suffix":""},{"dropping-particle":"","family":"Edwards","given":"Autumn","non-dropping-particle":"","parse-names":false,"suffix":""},{"dropping-particle":"","family":"Stoll","given":"Brett","non-dropping-particle":"","parse-names":false,"suffix":""},{"dropping-particle":"","family":"Lin","given":"Xialing","non-dropping-particle":"","parse-names":false,"suffix":""},{"dropping-particle":"","family":"Massey","given":"Noelle","non-dropping-particle":"","parse-names":false,"suffix":""}],"container-title":"Computers in Human Behavior","id":"ITEM-1","issued":{"date-parts":[["2019","1","1"]]},"page":"357-362","publisher":"Pergamon","title":"Evaluations of an artificial intelligence instructor's voice: Social Identity Theory in human-robot interactions","type":"article-journal","volume":"90"},"uris":["http://www.mendeley.com/documents/?uuid=2620e38f-a5c5-39d4-9d86-03b295914685"]}],"mendeley":{"formattedCitation":"(Edwards et al., 2019)","plainTextFormattedCitation":"(Edwards et al., 2019)","previouslyFormattedCitation":"(Edwards et al., 2019)"},"properties":{"noteIndex":0},"schema":"https://github.com/citation-style-language/schema/raw/master/csl-citation.json"}</w:instrText>
      </w:r>
      <w:r w:rsidRPr="00340533">
        <w:rPr>
          <w:rFonts w:ascii="Garamond" w:eastAsia="Times New Roman" w:hAnsi="Garamond" w:cs="Times New Roman"/>
          <w:color w:val="000000"/>
          <w:lang w:val="id-ID" w:eastAsia="zh-CN"/>
        </w:rPr>
        <w:fldChar w:fldCharType="separate"/>
      </w:r>
      <w:r w:rsidR="008805F1" w:rsidRPr="008805F1">
        <w:rPr>
          <w:rFonts w:ascii="Garamond" w:eastAsia="Times New Roman" w:hAnsi="Garamond" w:cs="Times New Roman"/>
          <w:noProof/>
          <w:color w:val="000000"/>
          <w:lang w:val="id-ID" w:eastAsia="zh-CN"/>
        </w:rPr>
        <w:t>(Edwards et al., 2019)</w:t>
      </w:r>
      <w:r w:rsidRPr="00340533">
        <w:rPr>
          <w:rFonts w:ascii="Garamond" w:eastAsia="Times New Roman" w:hAnsi="Garamond" w:cs="Times New Roman"/>
          <w:color w:val="000000"/>
          <w:lang w:val="id-ID"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{"citationItems":[{"id":"ITEM-1","itemData":{"DOI":"10.1007/S13218-021-00735-5/TABLES/3","ISSN":"16101987","abstract":"This paper describes the practical initiative to include Artificial Intelligence (AI) in the Spanish educational system’s curriculum at an early age. This proposal is in line with the current trend of introducing AI in school curricula all over the world. To this end, we propose an Artificial Intelligence workshop for middle schools within the existing subject, Technology, Programming and Robotics. In order to test the suitability of introducing AI at an early age, we conducted the activities at a bilingual middle school in Madrid. As evaluation tools, a quiz and motivational study of the students concerning AI was carried out using Situational Motivational Scale (SIMS) before and after introducing the activities. Responses of 84 students were analysed and the conclusion was reached that it is slightly better to introduce AI at an early age.","author":[{"dropping-particle":"","family":"Fernández-Martínez","given":"Carmen","non-dropping-particle":"","parse-names":false,"suffix":""},{"dropping-particle":"","family":"Hernán-Losada","given":"Isidoro","non-dropping-particle":"","parse-names":false,"suffix":""},{"dropping-particle":"","family":"Fernández","given":"Alberto","non-dropping-particle":"","parse-names":false,"suffix":""}],"container-title":"KI - Kunstliche Intelligenz","id":"ITEM-1","issue":"2","issued":{"date-parts":[["2021","6","1"]]},"page":"163-170","publisher":"Springer Science and Business Media Deutschland GmbH","title":"Early Introduction of AI in Spanish Middle Schools. A Motivational Study","type":"article-journal","volume":"35"},"uris":["http://www.mendeley.com/documents/?uuid=349f652b-3baa-365e-bfed-4696533f77bb"]}],"mendeley":{"formattedCitation":"(Fernández-Martínez et al., 2021)","plainTextFormattedCitation":"(Fernández-Martínez et al., 2021)","previouslyFormattedCitation":"(Fernández-Martínez et al., 2021)"},"properties":{"noteIndex":0},"schema":"https://github.com/citation-style-language/schema/raw/master/csl-citation.json"}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(Fernández-Martínez et al., 2021)</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FF6B7E">
        <w:rPr>
          <w:rFonts w:ascii="Garamond" w:eastAsia="Times New Roman" w:hAnsi="Garamond" w:cs="Times New Roman"/>
          <w:color w:val="000000"/>
          <w:lang w:eastAsia="zh-CN"/>
        </w:rPr>
        <w:instrText>ADDIN CSL_CITATION {"citationItems":[{"id":"ITEM-1","itemData":{"DOI":"10.1145/3465631.3465844","ISBN":"9781450385015","abstract":"Artificial intelligence is changing people's traditional concepts, thinking and lifestyle, and improving human knowledge and education. It is not only the commanding height of information technology today, but also a research hotspot in the field of education technology. The purpose of applying artificial intelligence to the exploratory thinking in college English teaching is to optimize the college English teaching model and teaching effect. Using this system in teaching practice, students are placed in an intelligent, contextual and humanized language learning environment. After introducing the concept of artificial intelligence, it analyzes the main current situation of college English teaching, and then proposes innovations in college English teaching under artificial intelligence conditions.","author":[{"dropping-particle":"","family":"Wang","given":"Xiaohua","non-dropping-particle":"","parse-names":false,"suffix":""}],"container-title":"ACM International Conference Proceeding Series","id":"ITEM-1","issued":{"date-parts":[["2021","8","19"]]},"publisher":"Association for Computing Machinery","title":"College english teaching innovation under artificial intelligence","type":"article-journal"},"uris":["http://www.mendeley.com/documents/?uuid=6d2b275f-5274-32f8-be8f-a6ce38ee8651"]}],"mendeley":{"formattedCitation":"(X. Wang, 2021)","manualFormatting":"(Wang, 2021)","plainTextFormattedCitation":"(X. Wang, 2021)","previouslyFormattedCitation":"(Wang, 2021)"},"properties":{"noteIndex":0},"schema":"https://github.com/citation-style-language/schema/raw/master/csl-citation.json"}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(Wang, 2021)</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val="id-ID" w:eastAsia="zh-CN"/>
        </w:rPr>
        <w:t xml:space="preserve"> dan pembelajaran seluler </w:t>
      </w:r>
      <w:r w:rsidRPr="00340533">
        <w:rPr>
          <w:rFonts w:ascii="Garamond" w:eastAsia="Times New Roman" w:hAnsi="Garamond" w:cs="Times New Roman"/>
          <w:color w:val="000000"/>
          <w:lang w:val="id-ID" w:eastAsia="zh-CN"/>
        </w:rPr>
        <w:fldChar w:fldCharType="begin" w:fldLock="1"/>
      </w:r>
      <w:r w:rsidR="008805F1">
        <w:rPr>
          <w:rFonts w:ascii="Garamond" w:eastAsia="Times New Roman" w:hAnsi="Garamond" w:cs="Times New Roman"/>
          <w:color w:val="000000"/>
          <w:lang w:val="id-ID" w:eastAsia="zh-CN"/>
        </w:rPr>
        <w:instrText>ADDIN CSL_CITATION {"citationItems":[{"id":"ITEM-1","itemData":{"DOI":"10.31002/METATHESIS.V5I1.3519","ISSN":"2580-2712","abstract":"&lt;p class=\"AbstractText\"&gt;The presence of ‘Grammarly’ as one of the online grammar checkers as the impact of technology development.  This paper aims to reveal an overview of ‘Grammarly’ as an AI-powered English Writing Assistant for EFL students in Writing English. This research applies descriptive qualitative research. Based on the analysis, using Grammarly software shows the performance increased. Before using Grammarly, the performance of the test score is 34 out of 100. After using Grammarly, the performance text score is 77 out of 100. This score shows the quality of writing in this text increased. The performance can be increased based on Grammarly's suggestions in a Premium account. The researcher recommends the students to use Grammarly. Grammarly is a web tool to perform grammar checks well, starting from the spelling of words, sentence structure to standard grammar. Grammarly is free, so it is recommended for students who want to check various documents or articles in English. Grammarly helps check the grammatical rule, the spelling rule in English structure, also correct errors in writing such as punctuation and capitalization. Grammarly runs on an Artificial Intelligence (AI) system, which is built to analyze English sentences relying on a set of rules. Grammarly takes context when showing corrections or suggestions, and inform the students quickly but still precisely. For accuracy, two service options available both free and paid features. Of course, the Grammarly free version still has limitations and in-service features, unlike the paid version (premium) which has full advantages and benefits, many features, and complete.&lt;/p&gt;","author":[{"dropping-particle":"","family":"Fitria","given":"Tira Nur","non-dropping-particle":"","parse-names":false,"suffix":""}],"container-title":"Metathesis: Journal of English Language, Literature, and Teaching","id":"ITEM-1","issue":"1","issued":{"date-parts":[["2021","5","18"]]},"page":"65","publisher":"Universitas Tidar","title":"Grammarly as AI-powered English Writing Assistant: Students’ Alternative for Writing English","type":"article-journal","volume":"5"},"uris":["http://www.mendeley.com/documents/?uuid=28038a57-26da-381b-8977-42ec125c4d23"]}],"mendeley":{"formattedCitation":"(Fitria, 2021)","plainTextFormattedCitation":"(Fitria, 2021)","previouslyFormattedCitation":"(Fitria, 2021)"},"properties":{"noteIndex":0},"schema":"https://github.com/citation-style-language/schema/raw/master/csl-citation.json"}</w:instrText>
      </w:r>
      <w:r w:rsidRPr="00340533">
        <w:rPr>
          <w:rFonts w:ascii="Garamond" w:eastAsia="Times New Roman" w:hAnsi="Garamond" w:cs="Times New Roman"/>
          <w:color w:val="000000"/>
          <w:lang w:val="id-ID" w:eastAsia="zh-CN"/>
        </w:rPr>
        <w:fldChar w:fldCharType="separate"/>
      </w:r>
      <w:r w:rsidR="008805F1" w:rsidRPr="008805F1">
        <w:rPr>
          <w:rFonts w:ascii="Garamond" w:eastAsia="Times New Roman" w:hAnsi="Garamond" w:cs="Times New Roman"/>
          <w:noProof/>
          <w:color w:val="000000"/>
          <w:lang w:val="id-ID" w:eastAsia="zh-CN"/>
        </w:rPr>
        <w:t>(Fitria, 2021)</w:t>
      </w:r>
      <w:r w:rsidRPr="00340533">
        <w:rPr>
          <w:rFonts w:ascii="Garamond" w:eastAsia="Times New Roman" w:hAnsi="Garamond" w:cs="Times New Roman"/>
          <w:color w:val="000000"/>
          <w:lang w:val="id-ID"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{"citationItems":[{"id":"ITEM-1","itemData":{"DOI":"10.1016/J.COMPEDU.2023.104862","ISSN":"0360-1315","abstract":"Recent advancements in artificial intelligence have led to the development of chatbots capable of engaging in argumentative dialogues and debates with human users. Although some studies have investigated the use of such chatbots to facilitate argumentation learning outside of the classroom, their integration into in-class learning activities remains largely unexplored. In this study, we developed a novel task design, chatbot-assisted in-class debates (CaIcD), for argumentation learning. In the task design, the students interacted with an argumentative chatbot named Argumate before engaging in debates with their classmates. During their interaction, the chatbot helped the students to generate ideas for supporting their position and predict opposing viewpoints. This study investigated the effects of CaIcD on students' argumentation skills and task motivation. Forty-four Chinese undergraduate students from two classes participated in this study. To examine the effects on argumentation skills in terms of structural complexity and argument quality, we used a pretest–posttest quasi-experimental design. Quade's test results revealed that participation in CaIcD enabled the students to use more claims, data, and warrants to generate arguments and participation in CaIcD led to more organised, sufficient, and elaborated arguments. However, no significant effects on overall structural complexity were found. Moreover, to understand the students' task motivation towards CaIcD, a within-subjects comparison design was employed. The results of the Wilcoxon signed-rank test indicated that the students had a higher level of enjoyment and exerted more effort when engaging in CaIcD than when performing conventional learning tasks. Moreover, the students perceived their performance in CaIcD to be as successful as that in conventional learning tasks, although the CaIcD task presented more challenges to them. However, no significant difference was observed in the students' perceived relevance of the two types of tasks to their argumentation learning. This study provides empirical evidence that integrating argumentative chatbots into classroom debates can lead to improved argumentation skills and higher task motivation among undergraduate students.","author":[{"dropping-particle":"","family":"Guo","given":"Kai","non-dropping-particle":"","parse-names":false,"suffix":""},{"dropping-particle":"","family":"Zhong","given":"Yuchun","non-dropping-particle":"","parse-names":false,"suffix":""},{"dropping-particle":"","family":"Li","given":"Danling","non-dropping-particle":"","parse-names":false,"suffix":""},{"dropping-particle":"","family":"Chu","given":"Samuel Kai Wah","non-dropping-particle":"","parse-names":false,"suffix":""}],"container-title":"Computers &amp; Education","id":"ITEM-1","issued":{"date-parts":[["2023","10","1"]]},"page":"104862","publisher":"Pergamon","title":"Effects of chatbot-assisted in-class debates on students’ argumentation skills and task motivation","type":"article-journal","volume":"203"},"uris":["http://www.mendeley.com/documents/?uuid=7f5f7f11-a09e-3bb5-8a68-430c4e16992f"]}],"mendeley":{"formattedCitation":"(Guo et al., 2023)","plainTextFormattedCitation":"(Guo et al., 2023)","previouslyFormattedCitation":"(Guo et al., 2023)"},"properties":{"noteIndex":0},"schema":"https://github.com/citation-style-language/schema/raw/master/csl-citation.json"}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(Guo et al., 2023)</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{"citationItems":[{"id":"ITEM-1","itemData":{"DOI":"10.1007/S40593-022-00293-3/TABLES/5","ISSN":"15604306","abstract":"The rapid expansion of artificial intelligence (AI) necessitates promoting AI education at the K-12 level. However, educating young learners to become AI literate citizens poses several challenges. The components of AI literacy are ill-defined and it is unclear to what extent middle school students can engage in learning about AI as a sociotechnical system with socio-political implications. In this paper we posit that students must learn three core domains of AI: technical concepts and processes, ethical and societal implications, and career futures in the AI era. This paper describes the design and implementation of the Developing AI Literacy (DAILy) workshop that aimed to integrate middle school students’ learning of the three domains. We found that after the workshop, most students developed a general understanding of AI concepts and processes (e.g., supervised learning and logic systems). More importantly, they were able to identify bias, describe ways to mitigate bias in machine learning, and start to consider how AI may impact their future lives and careers. At exit, nearly half of the students explained AI as not just a technical subject, but one that has personal, career, and societal implications. Overall, this finding suggests that the approach of incorporating ethics and career futures into AI education is age appropriate and effective for developing AI literacy among middle school students. This study contributes to the field of AI Education by presenting a model of integrating ethics into the teaching of AI that is appropriate for middle school students.","author":[{"dropping-particle":"","family":"Zhang","given":"Helen","non-dropping-particle":"","parse-names":false,"suffix":""},{"dropping-particle":"","family":"Lee","given":"Irene","non-dropping-particle":"","parse-names":false,"suffix":""},{"dropping-particle":"","family":"Ali","given":"Safinah","non-dropping-particle":"","parse-names":false,"suffix":""},{"dropping-particle":"","family":"DiPaola","given":"Daniella","non-dropping-particle":"","parse-names":false,"suffix":""},{"dropping-particle":"","family":"Cheng","given":"Yihong","non-dropping-particle":"","parse-names":false,"suffix":""},{"dropping-particle":"","family":"Breazeal","given":"Cynthia","non-dropping-particle":"","parse-names":false,"suffix":""}],"container-title":"International Journal of Artificial Intelligence in Education","id":"ITEM-1","issue":"2","issued":{"date-parts":[["2022","5","9"]]},"page":"290-324","publisher":"Springer","title":"Integrating Ethics and Career Futures with Technical Learning to Promote AI Literacy for Middle School Students: An Exploratory Study","type":"article-journal","volume":"33"},"uris":["http://www.mendeley.com/documents/?uuid=581fe91c-ea41-3bdd-a01b-5617bc246674"]}],"mendeley":{"formattedCitation":"(Zhang et al., 2022)","plainTextFormattedCitation":"(Zhang et al., 2022)","previouslyFormattedCitation":"(Zhang et al., 2022)"},"properties":{"noteIndex":0},"schema":"https://github.com/citation-style-language/schema/raw/master/csl-citation.json"}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(Zhang et al., 2022)</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val="id-ID" w:eastAsia="zh-CN"/>
        </w:rPr>
        <w:t xml:space="preserve"> untuk merangsang motivasi belajar intrinsik siswa dan meningkatkan hasil belajar mereka. Perangkat pembelajaran tersebut dapat meningkatkan minat belajar siswa, sehingga merangsang motivasi intrinsik mereka dan meningkatkan kinerja akademik mereka</w:t>
      </w:r>
      <w:r w:rsidRPr="00340533">
        <w:rPr>
          <w:rFonts w:ascii="Garamond" w:eastAsia="Times New Roman" w:hAnsi="Garamond" w:cs="Times New Roman"/>
          <w:color w:val="000000"/>
          <w:lang w:eastAsia="zh-CN"/>
        </w:rPr>
        <w:t>.</w:t>
      </w:r>
    </w:p>
    <w:p w14:paraId="09571F76" w14:textId="0D5926CE" w:rsidR="00340533" w:rsidRPr="00340533" w:rsidRDefault="00340533" w:rsidP="00336BA2">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eastAsia="zh-CN"/>
        </w:rPr>
      </w:pPr>
      <w:r w:rsidRPr="00340533">
        <w:rPr>
          <w:rFonts w:ascii="Garamond" w:eastAsia="Times New Roman" w:hAnsi="Garamond" w:cs="Times New Roman"/>
          <w:color w:val="000000"/>
          <w:lang w:eastAsia="zh-CN"/>
        </w:rPr>
        <w:tab/>
      </w:r>
      <w:r>
        <w:rPr>
          <w:rFonts w:ascii="Garamond" w:eastAsia="Times New Roman" w:hAnsi="Garamond" w:cs="Times New Roman"/>
          <w:color w:val="000000"/>
          <w:lang w:eastAsia="zh-CN"/>
        </w:rPr>
        <w:tab/>
      </w:r>
      <w:r w:rsidRPr="00340533">
        <w:rPr>
          <w:rFonts w:ascii="Garamond" w:eastAsia="Times New Roman" w:hAnsi="Garamond" w:cs="Times New Roman"/>
          <w:color w:val="000000"/>
          <w:lang w:eastAsia="zh-CN"/>
        </w:rPr>
        <w:t xml:space="preserve">Oleh karena itu, </w:t>
      </w:r>
      <w:r w:rsidRPr="00340533">
        <w:rPr>
          <w:rFonts w:ascii="Garamond" w:eastAsia="Times New Roman" w:hAnsi="Garamond" w:cs="Times New Roman"/>
          <w:color w:val="000000"/>
          <w:lang w:val="id-ID" w:eastAsia="zh-CN"/>
        </w:rPr>
        <w:t xml:space="preserve">penelitian menginformasikan kepada kita bahwa motivasi siswa memiliki dampak langsung pada pendekatan belajar mereka, tingkat keterlibatan mereka, ketekunan mereka dalam mencapai tujuan, dan mempengaruhi proses berpikir dan pendekatan belajar mereka </w:t>
      </w:r>
      <w:r w:rsidRPr="00340533">
        <w:rPr>
          <w:rFonts w:ascii="Garamond" w:eastAsia="Times New Roman" w:hAnsi="Garamond" w:cs="Times New Roman"/>
          <w:color w:val="000000"/>
          <w:lang w:val="id-ID" w:eastAsia="zh-CN"/>
        </w:rPr>
        <w:fldChar w:fldCharType="begin" w:fldLock="1"/>
      </w:r>
      <w:r w:rsidR="008805F1">
        <w:rPr>
          <w:rFonts w:ascii="Garamond" w:eastAsia="Times New Roman" w:hAnsi="Garamond" w:cs="Times New Roman"/>
          <w:color w:val="000000"/>
          <w:lang w:val="id-ID" w:eastAsia="zh-CN"/>
        </w:rPr>
        <w:instrText>ADDIN CSL_CITATION {"citationItems":[{"id":"ITEM-1","itemData":{"DOI":"10.1007/S40593-022-00326-X/TABLES/8","ISSN":"15604306","abstract":"Personalized gamification aims to address shortcomings of the one-size-fits-all (OSFA) approach in improving students’ motivations throughout the learning process. However, studies still focus on personalizing to a single user dimension, ignoring multiple individual and contextual factors that affect user motivation. Unlike prior research, we address this issue by exploring multidimensional personalization compared to OSFA based on a multi-institution sample. Thus, we conducted a controlled experiment in three institutions, comparing gamification designs (OSFA and Personalized to the learning task and users’ gaming habits/preferences and demographics) in terms of 58 students’ motivations to complete assessments for learning. Our results suggest no significant differences among OSFA and Personalized designs, despite suggesting user motivation depended on fewer user characteristics when using personalization. Additionally, exploratory analyses suggest personalization was positive for females and those holding a technical degree, but negative for those who prefer adventure games and those who prefer single-playing. Our contribution benefits designers, suggesting how personalization works; practitioners, demonstrating to whom the personalization strategy was more or less suitable; and researchers, providing future research directions.","author":[{"dropping-particle":"","family":"Rodrigues","given":"Luiz","non-dropping-particle":"","parse-names":false,"suffix":""},{"dropping-particle":"","family":"Palomino","given":"Paula T.","non-dropping-particle":"","parse-names":false,"suffix":""},{"dropping-particle":"","family":"Toda","given":"Armando M.","non-dropping-particle":"","parse-names":false,"suffix":""},{"dropping-particle":"","family":"Klock","given":"Ana C.T.","non-dropping-particle":"","parse-names":false,"suffix":""},{"dropping-particle":"","family":"Pessoa","given":"Marcela","non-dropping-particle":"","parse-names":false,"suffix":""},{"dropping-particle":"","family":"Pereira","given":"Filipe D.","non-dropping-particle":"","parse-names":false,"suffix":""},{"dropping-particle":"","family":"Oliveira","given":"Elaine H.T.","non-dropping-particle":"","parse-names":false,"suffix":""},{"dropping-particle":"","family":"Oliveira","given":"David F.","non-dropping-particle":"","parse-names":false,"suffix":""},{"dropping-particle":"","family":"Cristea","given":"Alexandra I.","non-dropping-particle":"","parse-names":false,"suffix":""},{"dropping-particle":"","family":"Gasparini","given":"Isabela","non-dropping-particle":"","parse-names":false,"suffix":""},{"dropping-particle":"","family":"Isotani","given":"Seiji","non-dropping-particle":"","parse-names":false,"suffix":""}],"container-title":"International Journal of Artificial Intelligence in Education","id":"ITEM-1","issued":{"date-parts":[["2023","1","10"]]},"page":"1-38","publisher":"Springer","title":"How Personalization Affects Motivation in Gamified Review Assessments","type":"article-journal"},"uris":["http://www.mendeley.com/documents/?uuid=c07287f5-d219-3bb1-be69-68821f0844f3"]}],"mendeley":{"formattedCitation":"(Rodrigues et al., 2023)","plainTextFormattedCitation":"(Rodrigues et al., 2023)","previouslyFormattedCitation":"(Rodrigues et al., 2023)"},"properties":{"noteIndex":0},"schema":"https://github.com/citation-style-language/schema/raw/master/csl-citation.json"}</w:instrText>
      </w:r>
      <w:r w:rsidRPr="00340533">
        <w:rPr>
          <w:rFonts w:ascii="Garamond" w:eastAsia="Times New Roman" w:hAnsi="Garamond" w:cs="Times New Roman"/>
          <w:color w:val="000000"/>
          <w:lang w:val="id-ID" w:eastAsia="zh-CN"/>
        </w:rPr>
        <w:fldChar w:fldCharType="separate"/>
      </w:r>
      <w:r w:rsidR="008805F1" w:rsidRPr="008805F1">
        <w:rPr>
          <w:rFonts w:ascii="Garamond" w:eastAsia="Times New Roman" w:hAnsi="Garamond" w:cs="Times New Roman"/>
          <w:noProof/>
          <w:color w:val="000000"/>
          <w:lang w:val="id-ID" w:eastAsia="zh-CN"/>
        </w:rPr>
        <w:t>(Rodrigues et al., 2023)</w:t>
      </w:r>
      <w:r w:rsidRPr="00340533">
        <w:rPr>
          <w:rFonts w:ascii="Garamond" w:eastAsia="Times New Roman" w:hAnsi="Garamond" w:cs="Times New Roman"/>
          <w:color w:val="000000"/>
          <w:lang w:val="id-ID"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{"citationItems":[{"id":"ITEM-1","itemData":{"DOI":"10.1007/S40593-022-00293-3/TABLES/5","ISSN":"15604306","abstract":"The rapid expansion of artificial intelligence (AI) necessitates promoting AI education at the K-12 level. However, educating young learners to become AI literate citizens poses several challenges. The components of AI literacy are ill-defined and it is unclear to what extent middle school students can engage in learning about AI as a sociotechnical system with socio-political implications. In this paper we posit that students must learn three core domains of AI: technical concepts and processes, ethical and societal implications, and career futures in the AI era. This paper describes the design and implementation of the Developing AI Literacy (DAILy) workshop that aimed to integrate middle school students’ learning of the three domains. We found that after the workshop, most students developed a general understanding of AI concepts and processes (e.g., supervised learning and logic systems). More importantly, they were able to identify bias, describe ways to mitigate bias in machine learning, and start to consider how AI may impact their future lives and careers. At exit, nearly half of the students explained AI as not just a technical subject, but one that has personal, career, and societal implications. Overall, this finding suggests that the approach of incorporating ethics and career futures into AI education is age appropriate and effective for developing AI literacy among middle school students. This study contributes to the field of AI Education by presenting a model of integrating ethics into the teaching of AI that is appropriate for middle school students.","author":[{"dropping-particle":"","family":"Zhang","given":"Helen","non-dropping-particle":"","parse-names":false,"suffix":""},{"dropping-particle":"","family":"Lee","given":"Irene","non-dropping-particle":"","parse-names":false,"suffix":""},{"dropping-particle":"","family":"Ali","given":"Safinah","non-dropping-particle":"","parse-names":false,"suffix":""},{"dropping-particle":"","family":"DiPaola","given":"Daniella","non-dropping-particle":"","parse-names":false,"suffix":""},{"dropping-particle":"","family":"Cheng","given":"Yihong","non-dropping-particle":"","parse-names":false,"suffix":""},{"dropping-particle":"","family":"Breazeal","given":"Cynthia","non-dropping-particle":"","parse-names":false,"suffix":""}],"container-title":"International Journal of Artificial Intelligence in Education","id":"ITEM-1","issue":"2","issued":{"date-parts":[["2022","5","9"]]},"page":"290-324","publisher":"Springer","title":"Integrating Ethics and Career Futures with Technical Learning to Promote AI Literacy for Middle School Students: An Exploratory Study","type":"article-journal","volume":"33"},"uris":["http://www.mendeley.com/documents/?uuid=581fe91c-ea41-3bdd-a01b-5617bc246674"]}],"mendeley":{"formattedCitation":"(Zhang et al., 2022)","plainTextFormattedCitation":"(Zhang et al., 2022)","previouslyFormattedCitation":"(Zhang et al., 2022)"},"properties":{"noteIndex":0},"schema":"https://github.com/citation-style-language/schema/raw/master/csl-citation.json"}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(Zhang et al., 2022)</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{"citationItems":[{"id":"ITEM-1","itemData":{"DOI":"10.1155/2021/8812542","ISSN":"10990526","abstract":"This study provided a content analysis of studies aiming to disclose how artificial intelligence (AI) has been applied to the education sector and explore the potential research trends and challenges of AI in education. A total of 100 papers including 63 empirical papers (74 studies) and 37 analytic papers were selected from the education and educational research category of Social Sciences Citation Index database from 2010 to 2020. The content analysis showed that the research questions could be classified into development layer (classification, matching, recommendation, and deep learning), application layer (feedback, reasoning, and adaptive learning), and integration layer (affection computing, role-playing, immersive learning, and gamification). Moreover, four research trends, including Internet of Things, swarm intelligence, deep learning, and neuroscience, as well as an assessment of AI in education, were suggested for further investigation. However, we also proposed the challenges in education may be caused by AI with regard to inappropriate use of AI techniques, changing roles of teachers and students, as well as social and ethical issues. The results provide insights into an overview of the AI used for education domain, which helps to strengthen the theoretical foundation of AI in education and provides a promising channel for educators and AI engineers to carry out further collaborative research.","author":[{"dropping-particle":"","family":"Zhai","given":"Xuesong","non-dropping-particle":"","parse-names":false,"suffix":""},{"dropping-particle":"","family":"Chu","given":"Xiaoyan","non-dropping-particle":"","parse-names":false,"suffix":""},{"dropping-particle":"","family":"Chai","given":"Ching Sing","non-dropping-particle":"","parse-names":false,"suffix":""},{"dropping-particle":"","family":"Jong","given":"Morris Siu Yung","non-dropping-particle":"","parse-names":false,"suffix":""},{"dropping-particle":"","family":"Istenic","given":"Andreja","non-dropping-particle":"","parse-names":false,"suffix":""},{"dropping-particle":"","family":"Spector","given":"Michael","non-dropping-particle":"","parse-names":false,"suffix":""},{"dropping-particle":"","family":"Liu","given":"Jia Bao","non-dropping-particle":"","parse-names":false,"suffix":""},{"dropping-particle":"","family":"Yuan","given":"Jing","non-dropping-particle":"","parse-names":false,"suffix":""},{"dropping-particle":"","family":"Li","given":"Yan","non-dropping-particle":"","parse-names":false,"suffix":""}],"container-title":"Complexity","id":"ITEM-1","issued":{"date-parts":[["2021"]]},"publisher":"Hindawi Limited","title":"A Review of Artificial Intelligence (AI) in Education from 2010 to 2020","type":"article-journal","volume":"2021"},"uris":["http://www.mendeley.com/documents/?uuid=3b529290-1269-337d-8cba-69d91842dc33"]}],"mendeley":{"formattedCitation":"(Zhai et al., 2021)","plainTextFormattedCitation":"(Zhai et al., 2021)","previouslyFormattedCitation":"(Zhai et al., 2021)"},"properties":{"noteIndex":0},"schema":"https://github.com/citation-style-language/schema/raw/master/csl-citation.json"}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(Zhai et al., 2021)</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{"citationItems":[{"id":"ITEM-1","itemData":{"DOI":"10.1177/2096531120944929/ASSET/IMAGES/LARGE/10.1177_2096531120944929-FIG1.JPEG","ISSN":"26321742","abstract":"Purpose: This article aims to shed light on a latest education informatization policy blueprint in China, titled Education Informatization 2.0 Action Plan, which was promulgated by the Ministry of Education in China on April 18, 2018. Design/Approach/Methods: The study is an analytical policy review based on the policy documents, theoretical discussion, and development of practice. Findings: This new Chinese education informatization policy was driven by three factors: the promotion of education informatization 1.0 in China, the requirement of education modernization toward 2035, and the response to “Wisdom Education.” The framework for action can be summarized as “One Goal, Three Tasks, and Eight Actions.” The main features involve innovation-driven development rather than technology-driven development, committing to the expansion of digital educational resources rather than the digital presentation of textbooks, and aiming at improving teachers and students’ information literacy rather than the applied skills of information technology. The future vision of the plan involves building new models on talent cultivation, education service, and education governance. The new models on talent cultivation involve establishing “Wisdom Teaching” mode, learning mode, and intelligent learning environment supported by artificial intelligence technology. The new education service models entail building the admission and sharing mechanism of quality educational resources based on National Network for Education and the public service platform and system for educational resources by means of the cloud computing and artificial intelligence. The new education governance models involve achieving precise, flat, and humanized education governance. Originality/Value: This article entails expounding the motivation, framework for action, main features, and vision of the education informatization 2.0 in China, which will be helpful for learning and understanding the current background, stage, and future path of China’s education informatization.","author":[{"dropping-particle":"","family":"Yan","given":"Shouxuan","non-dropping-particle":"","parse-names":false,"suffix":""},{"dropping-particle":"","family":"Yang","given":"Yun","non-dropping-particle":"","parse-names":false,"suffix":""}],"container-title":"ECNU Review of Education","id":"ITEM-1","issue":"2","issued":{"date-parts":[["2021","6","1"]]},"page":"410-428","publisher":"SAGE Publications Ltd","title":"Education Informatization 2.0 in China: Motivation, Framework, and Vision","type":"article-journal","volume":"4"},"uris":["http://www.mendeley.com/documents/?uuid=13168ebf-b02d-3d4b-8fbf-4ec194ff0e13"]}],"mendeley":{"formattedCitation":"(Yan &amp; Yang, 2021)","plainTextFormattedCitation":"(Yan &amp; Yang, 2021)","previouslyFormattedCitation":"(Yan &amp; Yang, 2021)"},"properties":{"noteIndex":0},"schema":"https://github.com/citation-style-language/schema/raw/master/csl-citation.json"}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(Yan &amp; Yang, 2021)</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val="id-ID" w:eastAsia="zh-CN"/>
        </w:rPr>
        <w:t xml:space="preserve">. Sangat mungkin bahwa motivasi siswa untuk berinteraksi dan belajar dengan teknologi AI akan dipengaruhi oleh seberapa baik teknologi tersebut diterapkan dalam praktik. Karena masa remaja adalah tahap yang sangat genting untuk motivasi </w:t>
      </w:r>
      <w:r w:rsidRPr="00340533">
        <w:rPr>
          <w:rFonts w:ascii="Garamond" w:eastAsia="Times New Roman" w:hAnsi="Garamond" w:cs="Times New Roman"/>
          <w:color w:val="000000"/>
          <w:lang w:val="id-ID" w:eastAsia="zh-CN"/>
        </w:rPr>
        <w:fldChar w:fldCharType="begin" w:fldLock="1"/>
      </w:r>
      <w:r w:rsidR="008805F1">
        <w:rPr>
          <w:rFonts w:ascii="Garamond" w:eastAsia="Times New Roman" w:hAnsi="Garamond" w:cs="Times New Roman"/>
          <w:color w:val="000000"/>
          <w:lang w:val="id-ID" w:eastAsia="zh-CN"/>
        </w:rPr>
        <w:instrText>ADDIN CSL_CITATION {"citationItems":[{"id":"ITEM-1","itemData":{"DOI":"10.1186/S40594-022-00346-Y/FIGURES/8","ISSN":"21967822","abstract":"Background: This study proposes a learning cycle and a comprehensive research framework that integrates Bloom’s taxonomy: the cognitive domain (cognitive load), affective domain (attitude and motivation) and psychomotor domain (implementation of science, technology, engineering, arts, and math [STEAM] activities) to explore the relationship between these learning domains and learning intention. The proposed innovative mediated-moderation model includes second-order factors derived from the technology acceptance model (TAM) (perceived usefulness, perceived ease of use, and perceived enjoyment), the attention, relevance, confidence and satisfaction (ARCS) model, and cognitive load (mental load and mental effort) to explain the continuous learning intention of STEAM education. Results: A teaching material was designed for the STEAM activity, and an empirical experiment was subsequently conducted. The empirical experiment of STEAM activities with our design teaching material (micro:bit with artificial intelligence-based concept) was conducted at a university and an elementary school; a total of 145 questionnaire survey data were collected after the activities. University student participants were 20–24 years old and the elementary school student participants were at the K5–K6 level. The results showed that perceived usability directly influenced learning intention and strengthened the relationship between learning attitudes and intention. The ARCS plays a critical moderating role that positively influenced perceived usability and strengthened its effects on learning attitudes. Regarding the mediating effects, cognitive load negatively influenced perceived usability. Conclusions: The findings of this study revealed that critical factors affect students’ learning attitudes and intentions regarding STEAM education. The theoretical and educational implications of these findings were proposed to future instructors.","author":[{"dropping-particle":"","family":"Wu","given":"Chih Hung","non-dropping-particle":"","parse-names":false,"suffix":""},{"dropping-particle":"","family":"Liu","given":"Chih Hsing","non-dropping-particle":"","parse-names":false,"suffix":""},{"dropping-particle":"","family":"Huang","given":"Yueh Min","non-dropping-particle":"","parse-names":false,"suffix":""}],"container-title":"International Journal of STEM Education","id":"ITEM-1","issue":"1","issued":{"date-parts":[["2022","12","1"]]},"page":"1-22","publisher":"Springer Science and Business Media Deutschland GmbH","title":"The exploration of continuous learning intention in STEAM education through attitude, motivation, and cognitive load","type":"article-journal","volume":"9"},"uris":["http://www.mendeley.com/documents/?uuid=2c25a218-a8c9-36be-963a-e1941f7ce1a0"]}],"mendeley":{"formattedCitation":"(Wu et al., 2022)","plainTextFormattedCitation":"(Wu et al., 2022)","previouslyFormattedCitation":"(Wu et al., 2022)"},"properties":{"noteIndex":0},"schema":"https://github.com/citation-style-language/schema/raw/master/csl-citation.json"}</w:instrText>
      </w:r>
      <w:r w:rsidRPr="00340533">
        <w:rPr>
          <w:rFonts w:ascii="Garamond" w:eastAsia="Times New Roman" w:hAnsi="Garamond" w:cs="Times New Roman"/>
          <w:color w:val="000000"/>
          <w:lang w:val="id-ID" w:eastAsia="zh-CN"/>
        </w:rPr>
        <w:fldChar w:fldCharType="separate"/>
      </w:r>
      <w:r w:rsidR="008805F1" w:rsidRPr="008805F1">
        <w:rPr>
          <w:rFonts w:ascii="Garamond" w:eastAsia="Times New Roman" w:hAnsi="Garamond" w:cs="Times New Roman"/>
          <w:noProof/>
          <w:color w:val="000000"/>
          <w:lang w:val="id-ID" w:eastAsia="zh-CN"/>
        </w:rPr>
        <w:t>(Wu et al., 2022)</w:t>
      </w:r>
      <w:r w:rsidRPr="00340533">
        <w:rPr>
          <w:rFonts w:ascii="Garamond" w:eastAsia="Times New Roman" w:hAnsi="Garamond" w:cs="Times New Roman"/>
          <w:color w:val="000000"/>
          <w:lang w:val="id-ID"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{"citationItems":[{"id":"ITEM-1","itemData":{"DOI":"10.24191/AJUE.V17I3.14499","ISSN":"2600-9749","abstract":"The purpose of this study is twofold: 1) to develop a service-learning-based module training artificial intelligence (AI) subject (SLBM-TAIS), and 2) to evaluate the effect of SLBM-TAIS on preservice teachers' (PSTs‘) practical knowledge and motivation, as well as primary school students’ attitude towards AI in China. Participants of this study comprised 60 PSTs and 107 primary school students. The experimental research in this study followed the quasi-experimental non-randomized pretest and post-test control group design. The PSTs were divided into experimental and control groups, and the primary school students followed the same grouping. The PSTs in the experimental group taught AI subjects to the primary school students in the experimental group, while the PSTs in the control group taught AI subjects to the primary school students in the control group. The results of the study showed that SLBM-TAIS was effective in training PSTs to teach AI subjects to primary school students. Furthermore, the SLBM-TAIS developed in this study offered a unique technique for training PSTs and primary school students that could increase PSTs' practical knowledge and motivation, as well as primary school students' attitudes toward AI. The findings from this study are important in the field of educational psychology, and its contribution has several theoretical and practical implications.","author":[{"dropping-particle":"","family":"Pu","given":"Song","non-dropping-particle":"","parse-names":false,"suffix":""},{"dropping-particle":"","family":"Ahmad","given":"Nor Aniza","non-dropping-particle":"","parse-names":false,"suffix":""},{"dropping-particle":"","family":"Khambari","given":"Mas Nida Md","non-dropping-particle":"","parse-names":false,"suffix":""},{"dropping-particle":"","family":"Yap","given":"Ng Keng","non-dropping-particle":"","parse-names":false,"suffix":""},{"dropping-particle":"","family":"Ahrari","given":"Seyedali","non-dropping-particle":"","parse-names":false,"suffix":""}],"container-title":"Asian Journal of University Education","id":"ITEM-1","issue":"3","issued":{"date-parts":[["2021","8","1"]]},"page":"203-219","publisher":"UiTM Press","title":"Improvement of Pre-Service Teachers' Practical Knowledge and Motivation about Artificial Intelligence through a Service-learning-based Module in Guizhou, China: A Quasi-Experimental Study","type":"article-journal","volume":"17"},"uris":["http://www.mendeley.com/documents/?uuid=c0dd96d1-280b-3c03-b53f-5558b07d082e"]}],"mendeley":{"formattedCitation":"(Pu et al., 2021)","plainTextFormattedCitation":"(Pu et al., 2021)","previouslyFormattedCitation":"(Pu et al., 2021)"},"properties":{"noteIndex":0},"schema":"https://github.com/citation-style-language/schema/raw/master/csl-citation.json"}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(Pu et al., 2021)</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eastAsia="zh-CN"/>
        </w:rPr>
        <w:t xml:space="preserve">, </w:t>
      </w:r>
      <w:r w:rsidRPr="00340533">
        <w:rPr>
          <w:rFonts w:ascii="Garamond" w:eastAsia="Times New Roman" w:hAnsi="Garamond" w:cs="Times New Roman"/>
          <w:color w:val="000000"/>
          <w:lang w:eastAsia="zh-CN"/>
        </w:rPr>
        <w:fldChar w:fldCharType="begin" w:fldLock="1"/>
      </w:r>
      <w:r w:rsidR="00FF6B7E">
        <w:rPr>
          <w:rFonts w:ascii="Garamond" w:eastAsia="Times New Roman" w:hAnsi="Garamond" w:cs="Times New Roman"/>
          <w:color w:val="000000"/>
          <w:lang w:eastAsia="zh-CN"/>
        </w:rPr>
        <w:instrText>ADDIN CSL_CITATION {"citationItems":[{"id":"ITEM-1","itemData":{"DOI":"10.1145/3465631.3465844","ISBN":"9781450385015","abstract":"Artificial intelligence is changing people's traditional concepts, thinking and lifestyle, and improving human knowledge and education. It is not only the commanding height of information technology today, but also a research hotspot in the field of education technology. The purpose of applying artificial intelligence to the exploratory thinking in college English teaching is to optimize the college English teaching model and teaching effect. Using this system in teaching practice, students are placed in an intelligent, contextual and humanized language learning environment. After introducing the concept of artificial intelligence, it analyzes the main current situation of college English teaching, and then proposes innovations in college English teaching under artificial intelligence conditions.","author":[{"dropping-particle":"","family":"Wang","given":"Xiaohua","non-dropping-particle":"","parse-names":false,"suffix":""}],"container-title":"ACM International Conference Proceeding Series","id":"ITEM-1","issued":{"date-parts":[["2021","8","19"]]},"publisher":"Association for Computing Machinery","title":"College english teaching innovation under artificial intelligence","type":"article-journal"},"uris":["http://www.mendeley.com/documents/?uuid=6d2b275f-5274-32f8-be8f-a6ce38ee8651"]}],"mendeley":{"formattedCitation":"(X. Wang, 2021)","manualFormatting":"(Wang, 2021)","plainTextFormattedCitation":"(X. Wang, 2021)","previouslyFormattedCitation":"(Wang, 2021)"},"properties":{"noteIndex":0},"schema":"https://github.com/citation-style-language/schema/raw/master/csl-citation.json"}</w:instrText>
      </w:r>
      <w:r w:rsidRPr="00340533">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(Wang, 2021)</w:t>
      </w:r>
      <w:r w:rsidRPr="00340533">
        <w:rPr>
          <w:rFonts w:ascii="Garamond" w:eastAsia="Times New Roman" w:hAnsi="Garamond" w:cs="Times New Roman"/>
          <w:color w:val="000000"/>
          <w:lang w:eastAsia="zh-CN"/>
        </w:rPr>
        <w:fldChar w:fldCharType="end"/>
      </w:r>
      <w:r w:rsidRPr="00340533">
        <w:rPr>
          <w:rFonts w:ascii="Garamond" w:eastAsia="Times New Roman" w:hAnsi="Garamond" w:cs="Times New Roman"/>
          <w:color w:val="000000"/>
          <w:lang w:val="id-ID" w:eastAsia="zh-CN"/>
        </w:rPr>
        <w:t>, mempelajari motivasi siswa di sekolah sangat penting dalam penelitian dan praktik dalam AI-Educational yang dilaksanakan. Oleh karena itu penting untuk mengeksplorasi hubungan antara motivasi siswa dan implementasi AI dalam proses pembelajaran. Selain itu, memahami peran guru, sebagai fasilitator inti motivasi siswa dan kemajuan akademik, dalam menengahi dan mendukung pembelajaran dengan teknologi AI di kelas, akan memberikan pemahaman yang jelas tentang bagaimana teknologi tersebut dapat digunakan dalam praktik.</w:t>
      </w:r>
    </w:p>
    <w:p w14:paraId="742BEBE7" w14:textId="65535CC3" w:rsidR="00A846F6" w:rsidRPr="00C81D07" w:rsidRDefault="00995832" w:rsidP="008805F1">
      <w:pPr>
        <w:spacing w:after="0"/>
        <w:ind w:firstLine="567"/>
        <w:jc w:val="both"/>
        <w:rPr>
          <w:rFonts w:ascii="Garamond" w:hAnsi="Garamond" w:cs="Lucida Sans"/>
          <w:color w:val="000000"/>
        </w:rPr>
      </w:pPr>
      <w:r w:rsidRPr="00340533">
        <w:rPr>
          <w:rFonts w:ascii="Garamond" w:hAnsi="Garamond" w:cs="Lucida Sans"/>
          <w:color w:val="000000"/>
        </w:rPr>
        <w:t xml:space="preserve">. </w:t>
      </w:r>
    </w:p>
    <w:p w14:paraId="5405F121" w14:textId="77777777" w:rsidR="00995832" w:rsidRPr="005F1B0A" w:rsidRDefault="00995832" w:rsidP="00D14BE6">
      <w:pPr>
        <w:pStyle w:val="Heading1"/>
        <w:spacing w:after="120" w:line="240" w:lineRule="auto"/>
        <w:jc w:val="left"/>
        <w:rPr>
          <w:rFonts w:ascii="Garamond" w:hAnsi="Garamond" w:cs="Lucida Sans"/>
          <w:b w:val="0"/>
          <w:color w:val="244061" w:themeColor="accent1" w:themeShade="80"/>
          <w:sz w:val="22"/>
          <w:szCs w:val="22"/>
        </w:rPr>
      </w:pPr>
      <w:r w:rsidRPr="005F1B0A">
        <w:rPr>
          <w:rFonts w:ascii="Garamond" w:hAnsi="Garamond" w:cs="Lucida Sans"/>
          <w:color w:val="244061" w:themeColor="accent1" w:themeShade="80"/>
          <w:sz w:val="22"/>
          <w:szCs w:val="22"/>
        </w:rPr>
        <w:t>METODE PENELITIAN</w:t>
      </w:r>
    </w:p>
    <w:p w14:paraId="1B2CAEA9" w14:textId="751CBC85" w:rsidR="00995832" w:rsidRPr="008805F1" w:rsidRDefault="008805F1" w:rsidP="008805F1">
      <w:pPr>
        <w:spacing w:after="0"/>
        <w:ind w:firstLine="567"/>
        <w:jc w:val="both"/>
        <w:rPr>
          <w:rFonts w:ascii="Garamond" w:hAnsi="Garamond" w:cs="Lucida Sans"/>
          <w:iCs/>
        </w:rPr>
      </w:pPr>
      <w:r w:rsidRPr="008805F1">
        <w:rPr>
          <w:rFonts w:ascii="Garamond" w:eastAsia="Times New Roman" w:hAnsi="Garamond" w:cs="Times New Roman"/>
          <w:color w:val="000000"/>
          <w:lang w:val="id-ID" w:eastAsia="zh-CN"/>
        </w:rPr>
        <w:t>Untuk mencapai pemahaman yang komprehensif tentang topik ini, pendekatan metode campuran diadopsi, mengintegrasikan metode penelitian kuantitatif dan kualitatif. Metodologi ini memungkinkan kami mengumpulkan kumpulan data kaya yang mengeksplorasi sifat multifaset dampak AI terhadap motivasi siswa. Pendekatan ini sangat cocok untuk mengeksplorasi fenomena kompleks dan beragam seperti dampak AI pada motivasi. Melibatkan kelas X terdiri dari 20 siswa SMK Negeri 2 Pariwisata Merauke, sebagai sampel penelitian. Desain ini melibatkan pengumpulan data kuantitatif terlebih dahulu, diikuti oleh data kualitatif untuk menjelaskan dan memberikan wawasan yang lebih dalam tentang temuan kuantitatif</w:t>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sidR="00FF6B7E">
        <w:rPr>
          <w:rFonts w:ascii="Garamond" w:eastAsia="Times New Roman" w:hAnsi="Garamond" w:cs="Times New Roman"/>
          <w:color w:val="000000"/>
          <w:lang w:eastAsia="zh-CN"/>
        </w:rPr>
        <w:instrText>ADDIN CSL_CITATION {"citationItems":[{"id":"ITEM-1","itemData":{"DOI":"10.33603/RILL.V5I2.6986","ISSN":"2615-4137","abstract":"In a multilingual society there is of course the teaching of a second (and perhaps third) language. At the educational level of Indonesia, English as a foreign language or EFL explicitly requires a lot of interaction in speaking, as well as in language skills in general. Translanguaging is a form of multilingual practice in the context of multilingual education where students must be given equal rights to develop their language potential. Seeing the complexity of the learning process that must be covered in teaching English in a multilingual situation, therefore the purpose of this research is to reveal the benefits, functions, and purposes of Translanguaging in the learning process. This research is descriptive research with a qualitative approach, where the researcher is the key instrument of data. Data collection techniques are carried out by triangulation (combined) of observations, interviews, and study documents. The qualitative research results emphasize meaning rather than generalization.      Translanguaging merupakan salah satu bentuk praktik multibahasa dalam konteks pendidikan multibahasa dimana siswa harus diberikan hak yang sama untuk mengembangkan potensi bahasanya. Melihat kompleksitas proses pembelajaran yang harus dicakup dalam pengajaran bahasa Inggris dalam situasi multibahasa, maka tujuan dari penelitian ini adalah untuk mengungkap manfaat, fungsi, dan tujuan Translanguaging dalam proses pembelajaran. Dengan menggunakan desain studi kasus, pengumpulan data menggunakan teknik wawancara dan observasi langsung. Temuan riset ini menunjukkan tiga jenis penerjemahan yang digunakan oleh guru selama mengajar. Jenis-jenis translanguaging tersebut adalah intra-sentential translanguaging, intersentential translanguaging, dan tag translanguaging, dengan empat tujuan yang saling berkaitan yang dapat dimanfaatkan untuk mendeteksi hasil pembelajaran siswa.","author":[{"dropping-particle":"","family":"Liando","given":"Nihta V. F.","non-dropping-particle":"","parse-names":false,"suffix":""},{"dropping-particle":"","family":"Tatipang","given":"Devilito Prasetyo","non-dropping-particle":"","parse-names":false,"suffix":""},{"dropping-particle":"","family":"Lengkoan","given":"Fergina","non-dropping-particle":"","parse-names":false,"suffix":""}],"container-title":"Research and Innovation in Language Learning","id":"ITEM-1","issue":"2","issued":{"date-parts":[["2022","9","6"]]},"page":"167-185","title":"A Study of Translanguaging Practices in an EFL Classroom in Indonesian Context: A Multilingual Concept","type":"article-journal","volume":"5"},"uris":["http://www.mendeley.com/documents/?uuid=e21d32ad-8817-3209-b3b1-03ed70e9e621"]}],"mendeley":{"formattedCitation":"(Liando, Tatipang, et al., 2022)","manualFormatting":"(Liando et al., 2022)","plainTextFormattedCitation":"(Liando, Tatipang, et al., 2022)","previouslyFormattedCitation":"(Liando, Tatipang, et al., 2022)"},"properties":{"noteIndex":0},"schema":"https://github.com/citation-style-language/schema/raw/master/csl-citation.json"}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(Liand</w:t>
      </w:r>
      <w:r w:rsidR="00FF6B7E">
        <w:rPr>
          <w:rFonts w:ascii="Garamond" w:eastAsia="Times New Roman" w:hAnsi="Garamond" w:cs="Times New Roman"/>
          <w:noProof/>
          <w:color w:val="000000"/>
          <w:lang w:eastAsia="zh-CN"/>
        </w:rPr>
        <w:t xml:space="preserve">o </w:t>
      </w:r>
      <w:r w:rsidRPr="008805F1">
        <w:rPr>
          <w:rFonts w:ascii="Garamond" w:eastAsia="Times New Roman" w:hAnsi="Garamond" w:cs="Times New Roman"/>
          <w:noProof/>
          <w:color w:val="000000"/>
          <w:lang w:eastAsia="zh-CN"/>
        </w:rPr>
        <w:t>et al., 2022)</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val="id-ID" w:eastAsia="zh-CN"/>
        </w:rPr>
        <w:t>. Untuk mengumpulkan data, kami menggunakan, Kuesioner Survei</w:t>
      </w:r>
      <w:r w:rsidRPr="008805F1">
        <w:rPr>
          <w:rFonts w:ascii="Garamond" w:eastAsia="Times New Roman" w:hAnsi="Garamond" w:cs="Times New Roman"/>
          <w:color w:val="000000"/>
          <w:lang w:eastAsia="zh-CN"/>
        </w:rPr>
        <w:t xml:space="preserve"> (dengan scala likert) sebagai bagian dari</w:t>
      </w:r>
      <w:r w:rsidRPr="008805F1">
        <w:rPr>
          <w:rFonts w:ascii="Garamond" w:eastAsia="Times New Roman" w:hAnsi="Garamond" w:cs="Times New Roman"/>
          <w:color w:val="000000"/>
          <w:lang w:val="id-ID" w:eastAsia="zh-CN"/>
        </w:rPr>
        <w:t xml:space="preserve"> data kuantitatif, kuesioner survei terstruktur akan diberikan kepada siswa yang telah mengalami alat pembelajaran berbasis AI. Kuesioner dirancang untuk mengukur aspek motivasi terhadap AI. Selain itu, untuk data kualitatif, dokumen</w:t>
      </w:r>
      <w:r w:rsidRPr="008805F1">
        <w:rPr>
          <w:rFonts w:ascii="Garamond" w:eastAsia="Times New Roman" w:hAnsi="Garamond" w:cs="Times New Roman"/>
          <w:color w:val="000000"/>
          <w:lang w:eastAsia="zh-CN"/>
        </w:rPr>
        <w:t>/</w:t>
      </w:r>
      <w:r w:rsidRPr="008805F1">
        <w:rPr>
          <w:rFonts w:ascii="Garamond" w:eastAsia="Times New Roman" w:hAnsi="Garamond" w:cs="Times New Roman"/>
          <w:color w:val="000000"/>
          <w:lang w:val="id-ID" w:eastAsia="zh-CN"/>
        </w:rPr>
        <w:t xml:space="preserve">studi literatur sebelumnya tersirat. Setelah pengumpulan data kuantitatif, dipilih subset penelitian sebelumnya terkait implementasi AI terhadap motivasi belajar siswa untuk analisis dokumen/literatur untuk mendapatkan data mendalam terkait AI dan motivasi belajar siswa. </w:t>
      </w:r>
    </w:p>
    <w:p w14:paraId="41058D57" w14:textId="77777777" w:rsidR="00995832" w:rsidRPr="005F1B0A" w:rsidRDefault="00995832" w:rsidP="00D14BE6">
      <w:pPr>
        <w:pStyle w:val="Heading1"/>
        <w:spacing w:before="120" w:after="120" w:line="240" w:lineRule="auto"/>
        <w:jc w:val="left"/>
        <w:rPr>
          <w:rFonts w:ascii="Garamond" w:hAnsi="Garamond" w:cs="Lucida Sans"/>
          <w:b w:val="0"/>
          <w:color w:val="244061" w:themeColor="accent1" w:themeShade="80"/>
          <w:sz w:val="22"/>
          <w:szCs w:val="22"/>
        </w:rPr>
      </w:pPr>
      <w:r w:rsidRPr="005F1B0A">
        <w:rPr>
          <w:rFonts w:ascii="Garamond" w:hAnsi="Garamond" w:cs="Lucida Sans"/>
          <w:color w:val="244061" w:themeColor="accent1" w:themeShade="80"/>
          <w:sz w:val="22"/>
          <w:szCs w:val="22"/>
        </w:rPr>
        <w:lastRenderedPageBreak/>
        <w:t>HASIL DAN PEMBAHASAN</w:t>
      </w:r>
    </w:p>
    <w:p w14:paraId="3760E60C" w14:textId="180769C7" w:rsidR="008805F1" w:rsidRPr="008805F1" w:rsidRDefault="008805F1"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eastAsia="zh-CN"/>
        </w:rPr>
      </w:pPr>
      <w:r>
        <w:rPr>
          <w:rFonts w:ascii="Garamond" w:eastAsia="Times New Roman" w:hAnsi="Garamond" w:cs="Times New Roman"/>
          <w:color w:val="000000"/>
          <w:lang w:val="id-ID" w:eastAsia="zh-CN"/>
        </w:rPr>
        <w:tab/>
      </w:r>
      <w:r w:rsidR="00FF6B7E">
        <w:rPr>
          <w:rFonts w:ascii="Garamond" w:eastAsia="Times New Roman" w:hAnsi="Garamond" w:cs="Times New Roman"/>
          <w:color w:val="000000"/>
          <w:lang w:val="id-ID" w:eastAsia="zh-CN"/>
        </w:rPr>
        <w:tab/>
      </w:r>
      <w:r w:rsidRPr="008805F1">
        <w:rPr>
          <w:rFonts w:ascii="Garamond" w:eastAsia="Times New Roman" w:hAnsi="Garamond" w:cs="Times New Roman"/>
          <w:color w:val="000000"/>
          <w:lang w:val="id-ID" w:eastAsia="zh-CN"/>
        </w:rPr>
        <w:t xml:space="preserve">Di era yang ditandai dengan kemajuan teknologi yang pesat dan lanskap global yang terus berkembang, ranah pendidikan berdiri sebagai wadah inovasi dan transformasi yang dinamis. Di antara segudang alat dan teknologi yang membentuk kembali pedagogi, Kecerdasan Buatan (AI) telah muncul sebagai pesaing yang menjanjikan dengan potensi untuk merevolusi cara siswa terlibat dengan pengalaman belajar mereka </w:t>
      </w:r>
      <w:r w:rsidRPr="008805F1">
        <w:rPr>
          <w:rFonts w:ascii="Garamond" w:eastAsia="Times New Roman" w:hAnsi="Garamond" w:cs="Times New Roman"/>
          <w:color w:val="000000"/>
          <w:lang w:val="id-ID" w:eastAsia="zh-CN"/>
        </w:rPr>
        <w:fldChar w:fldCharType="begin" w:fldLock="1"/>
      </w:r>
      <w:r>
        <w:rPr>
          <w:rFonts w:ascii="Garamond" w:eastAsia="Times New Roman" w:hAnsi="Garamond" w:cs="Times New Roman"/>
          <w:color w:val="000000"/>
          <w:lang w:val="id-ID" w:eastAsia="zh-CN"/>
        </w:rPr>
        <w:instrText>ADDIN CSL_CITATION {"citationItems":[{"id":"ITEM-1","itemData":{"DOI":"10.1016/J.COMPEDU.2023.104862","ISSN":"0360-1315","abstract":"Recent advancements in artificial intelligence have led to the development of chatbots capable of engaging in argumentative dialogues and debates with human users. Although some studies have investigated the use of such chatbots to facilitate argumentation learning outside of the classroom, their integration into in-class learning activities remains largely unexplored. In this study, we developed a novel task design, chatbot-assisted in-class debates (CaIcD), for argumentation learning. In the task design, the students interacted with an argumentative chatbot named Argumate before engaging in debates with their classmates. During their interaction, the chatbot helped the students to generate ideas for supporting their position and predict opposing viewpoints. This study investigated the effects of CaIcD on students' argumentation skills and task motivation. Forty-four Chinese undergraduate students from two classes participated in this study. To examine the effects on argumentation skills in terms of structural complexity and argument quality, we used a pretest–posttest quasi-experimental design. Quade's test results revealed that participation in CaIcD enabled the students to use more claims, data, and warrants to generate arguments and participation in CaIcD led to more organised, sufficient, and elaborated arguments. However, no significant effects on overall structural complexity were found. Moreover, to understand the students' task motivation towards CaIcD, a within-subjects comparison design was employed. The results of the Wilcoxon signed-rank test indicated that the students had a higher level of enjoyment and exerted more effort when engaging in CaIcD than when performing conventional learning tasks. Moreover, the students perceived their performance in CaIcD to be as successful as that in conventional learning tasks, although the CaIcD task presented more challenges to them. However, no significant difference was observed in the students' perceived relevance of the two types of tasks to their argumentation learning. This study provides empirical evidence that integrating argumentative chatbots into classroom debates can lead to improved argumentation skills and higher task motivation among undergraduate students.","author":[{"dropping-particle":"","family":"Guo","given":"Kai","non-dropping-particle":"","parse-names":false,"suffix":""},{"dropping-particle":"","family":"Zhong","given":"Yuchun","non-dropping-particle":"","parse-names":false,"suffix":""},{"dropping-particle":"","family":"Li","given":"Danling","non-dropping-particle":"","parse-names":false,"suffix":""},{"dropping-particle":"","family":"Chu","given":"Samuel Kai Wah","non-dropping-particle":"","parse-names":false,"suffix":""}],"container-title":"Computers &amp; Education","id":"ITEM-1","issued":{"date-parts":[["2023","10","1"]]},"page":"104862","publisher":"Pergamon","title":"Effects of chatbot-assisted in-class debates on students’ argumentation skills and task motivation","type":"article-journal","volume":"203"},"uris":["http://www.mendeley.com/documents/?uuid=7f5f7f11-a09e-3bb5-8a68-430c4e16992f"]}],"mendeley":{"formattedCitation":"(Guo et al., 2023)","plainTextFormattedCitation":"(Guo et al., 2023)","previouslyFormattedCitation":"[11]"},"properties":{"noteIndex":0},"schema":"https://github.com/citation-style-language/schema/raw/master/csl-citation.json"}</w:instrText>
      </w:r>
      <w:r w:rsidRPr="008805F1">
        <w:rPr>
          <w:rFonts w:ascii="Garamond" w:eastAsia="Times New Roman" w:hAnsi="Garamond" w:cs="Times New Roman"/>
          <w:color w:val="000000"/>
          <w:lang w:val="id-ID" w:eastAsia="zh-CN"/>
        </w:rPr>
        <w:fldChar w:fldCharType="separate"/>
      </w:r>
      <w:r w:rsidRPr="008805F1">
        <w:rPr>
          <w:rFonts w:ascii="Garamond" w:eastAsia="Times New Roman" w:hAnsi="Garamond" w:cs="Times New Roman"/>
          <w:noProof/>
          <w:color w:val="000000"/>
          <w:lang w:val="id-ID" w:eastAsia="zh-CN"/>
        </w:rPr>
        <w:t>(Guo et al., 2023)</w:t>
      </w:r>
      <w:r w:rsidRPr="008805F1">
        <w:rPr>
          <w:rFonts w:ascii="Garamond" w:eastAsia="Times New Roman" w:hAnsi="Garamond" w:cs="Times New Roman"/>
          <w:color w:val="000000"/>
          <w:lang w:val="id-ID" w:eastAsia="zh-CN"/>
        </w:rPr>
        <w:fldChar w:fldCharType="end"/>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{"citationItems":[{"id":"ITEM-1","itemData":{"author":[{"dropping-particle":"","family":"H.","given":"Shin M.","non-dropping-particle":"","parse-names":false,"suffix":""}],"container-title":"Indian Journal of Public Health Research &amp; Development","id":"ITEM-1","issue":"9","issued":{"date-parts":[["2018"]]},"page":"557-561","title":"How to use artificial intelligence in the English language learning classroom","type":"article-journal","volume":"9"},"uris":["http://www.mendeley.com/documents/?uuid=f007adc8-de78-36e5-bc7b-4e246560a068"]}],"mendeley":{"formattedCitation":"(H., 2018)","plainTextFormattedCitation":"(H., 2018)","previouslyFormattedCitation":"[33]"},"properties":{"noteIndex":0},"schema":"https://github.com/citation-style-language/schema/raw/master/csl-citation.json"}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(H., 2018)</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sidR="00FF6B7E">
        <w:rPr>
          <w:rFonts w:ascii="Garamond" w:eastAsia="Times New Roman" w:hAnsi="Garamond" w:cs="Times New Roman"/>
          <w:color w:val="000000"/>
          <w:lang w:eastAsia="zh-CN"/>
        </w:rPr>
        <w:instrText>ADDIN CSL_CITATION {"citationItems":[{"id":"ITEM-1","itemData":{"DOI":"10.2991/EMEHSS-19.2019.79","ISBN":"978-94-6252-742-3","ISSN":"2352-5398","abstract":"English teaching and learning, as an important part of the new curriculum reform, has been paid more and more attention and recognition by the relevant education departments. With the continuous improvement and expansion of teaching level and scale, with the development of Internet information technology, the environment of English teaching and learning is undergoing unprecedented changes. How to combine AI with English teaching effectively and cultivate compound talents for the society has become an increasingly urgent problem in the field of English teaching and learning. Based on the background of AI, this paper makes a thorough analysis and Research on the reform of English teaching and learning. 1. The Significance of Artificial Intelligence Technology in English Teaching and Learning Media is the extension of human body, and artificial intelligence is also the extension of human intelligence.As one of the most developed technologies at this stage, AI has also made many breakthroughs in the field of education.Simply put, AI simulates human intelligence science through computer. The continuous improvement of information process makes AI penetrate into all aspects of public life.Education is the driving force and cornerstone of social development. English language is one of the universal world languages nowdays. Therefore, through artificial intelligence machine learning, intelligent search and natural language processing, can effectively promote the reform of English teaching and learning.Improve and improve the ability of Chinese people to communicate in English, at the same time, promote the improvement of the quality of English classroom teaching.Therefore, the emergence of artificial intelligence is not only an effective way of English teaching and learning practice, but also an important manifestation of science and technology to promote social change. 2. Basic Summary and Characteristics of Artificial Intelligence AI, also known as AI, is often used to solve complex problems encountered by human beings.As a frontier interdisciplinary subject, AI can not only make teaching more efficient and fair in education, but also constantly change people's traditional learning methods and thinking concepts.The development and innovation of traditional science and technology are far from reach in people's daily life, but the emergence of artificial intelligence makes science and technology more close to people's lives, while having more temperature. 2.1 Ma…","author":[{"dropping-particle":"","family":"Wang","given":"Rui","non-dropping-particle":"","parse-names":false,"suffix":""}],"container-title":"Proceedings of the 3rd International Conference on Economics and Management, Education, Humanities and Social Sciences (EMEHSS 2019)","id":"ITEM-1","issued":{"date-parts":[["2019","6","1"]]},"page":"392-395","publisher":"Atlantis Press","title":"Research on Artificial Intelligence Promoting English Learning Change","type":"article-journal"},"uris":["http://www.mendeley.com/documents/?uuid=672df0e4-d492-379a-8eb1-1c7c45c894bd"]}],"mendeley":{"formattedCitation":"(R. Wang, 2019)","manualFormatting":"(Wang, 2019)","plainTextFormattedCitation":"(R. Wang, 2019)","previouslyFormattedCitation":"[34]"},"properties":{"noteIndex":0},"schema":"https://github.com/citation-style-language/schema/raw/master/csl-citation.json"}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(Wang, 2019)</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val="id-ID" w:eastAsia="zh-CN"/>
        </w:rPr>
        <w:t>. Potensi transformatif ini sangat signifikan dalam domain proses pembelajaran di bidang pendidikan, di mana memotivasi siswa untuk terus-menerus dan antusias belajar bahasa baru telah lama menimbulkan tantangan yang cukup besar.</w:t>
      </w:r>
    </w:p>
    <w:p w14:paraId="1B661C13" w14:textId="6F71A346" w:rsidR="008805F1" w:rsidRPr="008805F1" w:rsidRDefault="008805F1"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r w:rsidRPr="008805F1">
        <w:rPr>
          <w:rFonts w:ascii="Garamond" w:eastAsia="Times New Roman" w:hAnsi="Garamond" w:cs="Times New Roman"/>
          <w:color w:val="000000"/>
          <w:lang w:val="id-ID" w:eastAsia="zh-CN"/>
        </w:rPr>
        <w:tab/>
      </w:r>
      <w:r w:rsidR="00FF6B7E">
        <w:rPr>
          <w:rFonts w:ascii="Garamond" w:eastAsia="Times New Roman" w:hAnsi="Garamond" w:cs="Times New Roman"/>
          <w:color w:val="000000"/>
          <w:lang w:val="id-ID" w:eastAsia="zh-CN"/>
        </w:rPr>
        <w:tab/>
      </w:r>
      <w:r w:rsidRPr="008805F1">
        <w:rPr>
          <w:rFonts w:ascii="Garamond" w:eastAsia="Times New Roman" w:hAnsi="Garamond" w:cs="Times New Roman"/>
          <w:color w:val="000000"/>
          <w:lang w:val="id-ID" w:eastAsia="zh-CN"/>
        </w:rPr>
        <w:t>Ketika para pendidik dan peneliti bergulat dengan lanskap pendidikan yang berkembang, satu pertanyaan penting tetap penting: Bagaimana AI memengaruhi motivasi siswa? Pertanyaan ini terletak di jantung upaya penelitian kami, yang telah berusaha untuk mengeksplorasi secara komprehensif implikasi AI pada motivasi proses belajar siswa. Pada bagian ini, kami menyajikan puncak dari temuan penelitian kami, menawarkan perspektif bernuansa tentang interaksi antara teknologi AI dan faktor motivasi yang mendorong siswa.</w:t>
      </w:r>
    </w:p>
    <w:p w14:paraId="374FC3D8" w14:textId="7591A62B" w:rsidR="008805F1" w:rsidRPr="008805F1" w:rsidRDefault="008805F1"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r w:rsidRPr="008805F1">
        <w:rPr>
          <w:rFonts w:ascii="Garamond" w:eastAsia="Times New Roman" w:hAnsi="Garamond" w:cs="Times New Roman"/>
          <w:color w:val="000000"/>
          <w:lang w:val="id-ID" w:eastAsia="zh-CN"/>
        </w:rPr>
        <w:tab/>
      </w:r>
      <w:r w:rsidR="00FF6B7E">
        <w:rPr>
          <w:rFonts w:ascii="Garamond" w:eastAsia="Times New Roman" w:hAnsi="Garamond" w:cs="Times New Roman"/>
          <w:color w:val="000000"/>
          <w:lang w:val="id-ID" w:eastAsia="zh-CN"/>
        </w:rPr>
        <w:tab/>
      </w:r>
      <w:r w:rsidRPr="008805F1">
        <w:rPr>
          <w:rFonts w:ascii="Garamond" w:eastAsia="Times New Roman" w:hAnsi="Garamond" w:cs="Times New Roman"/>
          <w:color w:val="000000"/>
          <w:lang w:val="id-ID" w:eastAsia="zh-CN"/>
        </w:rPr>
        <w:t>Kecerdasan Buatan (AI) pada dasarnya membentuk kembali pendidikan di seluruh dunia, dan proses belajar mengajar di kelas tidak terkecuali. Ketika kita melangkah lebih jauh ke abad ke-21, kita menemukan diri kita di persimpangan teknologi mutakhir dan inovasi pedagogis. Integrasi AI ke dalam proses belajar mengajar sangat menjanjikan, mengantarkan era baru pengajaran dan pembelajaran</w:t>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{"citationItems":[{"id":"ITEM-1","itemData":{"DOI":"10.1007/S10639-020-10159-7/TABLES/6","ISSN":"15737608","abstract":"Emergence of the use and application of Artificial Intelligence (AI) in higher education in India has opened new possibilities and challenges. Use of AI in will bring in effective change of governance in the entire internal architecture of Indian Institutes of higher education. The prospect of use of AI includes investigation of educational implications as to how teachers would enrich them, how students would learn, and how accurate and prompt decisions can be taken in the institutes of higher education. This is important since the workload has been multiplied due to massification of higher education. Such being the scenario, help of AI is highly essential. The question of adoption of AI in higher education is an important issue in this perspective. The purpose of this study is to explore how the stakeholders would be able to adopt it. For this, we have taken help of many adoption theories and models including ‘Unified Theory of Acceptance and Use of Technology’ (UTAUT) model. We have developed hypotheses and a conceptual model and got it validated through survey with the help of feedbacks from useable 329 respondents. It has been found that the model can help the authorities to facilitate adoption of AI in higher education.","author":[{"dropping-particle":"","family":"Chatterjee","given":"Sheshadri","non-dropping-particle":"","parse-names":false,"suffix":""},{"dropping-particle":"","family":"Bhattacharjee","given":"Kalyan Kumar","non-dropping-particle":"","parse-names":false,"suffix":""}],"container-title":"Education and Information Technologies","id":"ITEM-1","issue":"5","issued":{"date-parts":[["2020","9","1"]]},"page":"3443-3463","publisher":"Springer","title":"Adoption of artificial intelligence in higher education: a quantitative analysis using structural equation modelling","type":"article-journal","volume":"25"},"uris":["http://www.mendeley.com/documents/?uuid=900b4006-8a79-3aae-bdbd-5238a0978704"]}],"mendeley":{"formattedCitation":"(Chatterjee &amp; Bhattacharjee, 2020)","plainTextFormattedCitation":"(Chatterjee &amp; Bhattacharjee, 2020)","previouslyFormattedCitation":"[9]"},"properties":{"noteIndex":0},"schema":"https://github.com/citation-style-language/schema/raw/master/csl-citation.json"}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(Chatterjee &amp; Bhattacharjee, 2020)</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{"citationItems":[{"id":"ITEM-1","itemData":{"DOI":"10.1007/S40593-022-00326-X/TABLES/8","ISSN":"15604306","abstract":"Personalized gamification aims to address shortcomings of the one-size-fits-all (OSFA) approach in improving students’ motivations throughout the learning process. However, studies still focus on personalizing to a single user dimension, ignoring multiple individual and contextual factors that affect user motivation. Unlike prior research, we address this issue by exploring multidimensional personalization compared to OSFA based on a multi-institution sample. Thus, we conducted a controlled experiment in three institutions, comparing gamification designs (OSFA and Personalized to the learning task and users’ gaming habits/preferences and demographics) in terms of 58 students’ motivations to complete assessments for learning. Our results suggest no significant differences among OSFA and Personalized designs, despite suggesting user motivation depended on fewer user characteristics when using personalization. Additionally, exploratory analyses suggest personalization was positive for females and those holding a technical degree, but negative for those who prefer adventure games and those who prefer single-playing. Our contribution benefits designers, suggesting how personalization works; practitioners, demonstrating to whom the personalization strategy was more or less suitable; and researchers, providing future research directions.","author":[{"dropping-particle":"","family":"Rodrigues","given":"Luiz","non-dropping-particle":"","parse-names":false,"suffix":""},{"dropping-particle":"","family":"Palomino","given":"Paula T.","non-dropping-particle":"","parse-names":false,"suffix":""},{"dropping-particle":"","family":"Toda","given":"Armando M.","non-dropping-particle":"","parse-names":false,"suffix":""},{"dropping-particle":"","family":"Klock","given":"Ana C.T.","non-dropping-particle":"","parse-names":false,"suffix":""},{"dropping-particle":"","family":"Pessoa","given":"Marcela","non-dropping-particle":"","parse-names":false,"suffix":""},{"dropping-particle":"","family":"Pereira","given":"Filipe D.","non-dropping-particle":"","parse-names":false,"suffix":""},{"dropping-particle":"","family":"Oliveira","given":"Elaine H.T.","non-dropping-particle":"","parse-names":false,"suffix":""},{"dropping-particle":"","family":"Oliveira","given":"David F.","non-dropping-particle":"","parse-names":false,"suffix":""},{"dropping-particle":"","family":"Cristea","given":"Alexandra I.","non-dropping-particle":"","parse-names":false,"suffix":""},{"dropping-particle":"","family":"Gasparini","given":"Isabela","non-dropping-particle":"","parse-names":false,"suffix":""},{"dropping-particle":"","family":"Isotani","given":"Seiji","non-dropping-particle":"","parse-names":false,"suffix":""}],"container-title":"International Journal of Artificial Intelligence in Education","id":"ITEM-1","issued":{"date-parts":[["2023","1","10"]]},"page":"1-38","publisher":"Springer","title":"How Personalization Affects Motivation in Gamified Review Assessments","type":"article-journal"},"uris":["http://www.mendeley.com/documents/?uuid=c07287f5-d219-3bb1-be69-68821f0844f3"]}],"mendeley":{"formattedCitation":"(Rodrigues et al., 2023)","plainTextFormattedCitation":"(Rodrigues et al., 2023)","previouslyFormattedCitation":"[4]"},"properties":{"noteIndex":0},"schema":"https://github.com/citation-style-language/schema/raw/master/csl-citation.json"}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(Rodrigues et al., 2023)</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val="id-ID" w:eastAsia="zh-CN"/>
        </w:rPr>
        <w:t>. Pengantar ini mengeksplorasi dampak transformatif AI di kelas, menjelaskan bagaimana teknologi ini merevolusi cara kita memperoleh, mengajar, dan menggunakan teknologi sebagai bagian dari era pengembangan.</w:t>
      </w:r>
    </w:p>
    <w:p w14:paraId="0A18FF20" w14:textId="6FA0B5A1" w:rsidR="008805F1" w:rsidRPr="008805F1" w:rsidRDefault="008805F1"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r w:rsidRPr="008805F1">
        <w:rPr>
          <w:rFonts w:ascii="Garamond" w:eastAsia="Times New Roman" w:hAnsi="Garamond" w:cs="Times New Roman"/>
          <w:color w:val="000000"/>
          <w:lang w:val="id-ID" w:eastAsia="zh-CN"/>
        </w:rPr>
        <w:tab/>
      </w:r>
      <w:r w:rsidR="00FF6B7E">
        <w:rPr>
          <w:rFonts w:ascii="Garamond" w:eastAsia="Times New Roman" w:hAnsi="Garamond" w:cs="Times New Roman"/>
          <w:color w:val="000000"/>
          <w:lang w:val="id-ID" w:eastAsia="zh-CN"/>
        </w:rPr>
        <w:tab/>
      </w:r>
      <w:r w:rsidRPr="008805F1">
        <w:rPr>
          <w:rFonts w:ascii="Garamond" w:eastAsia="Times New Roman" w:hAnsi="Garamond" w:cs="Times New Roman"/>
          <w:color w:val="000000"/>
          <w:lang w:val="id-ID" w:eastAsia="zh-CN"/>
        </w:rPr>
        <w:t>Dalam dunia yang semakin saling</w:t>
      </w:r>
      <w:r w:rsidRPr="008805F1">
        <w:rPr>
          <w:rFonts w:ascii="Garamond" w:eastAsia="Times New Roman" w:hAnsi="Garamond" w:cs="Times New Roman"/>
          <w:color w:val="000000"/>
          <w:lang w:eastAsia="zh-CN"/>
        </w:rPr>
        <w:t xml:space="preserve"> terhubung sekarang ini</w:t>
      </w:r>
      <w:r w:rsidRPr="008805F1">
        <w:rPr>
          <w:rFonts w:ascii="Garamond" w:eastAsia="Times New Roman" w:hAnsi="Garamond" w:cs="Times New Roman"/>
          <w:color w:val="000000"/>
          <w:lang w:val="id-ID" w:eastAsia="zh-CN"/>
        </w:rPr>
        <w:t xml:space="preserve">, Pendidikan khususnya pengajaran dan proses bersandar telah memantapkan dirinya sebagai suatu keharusan untuk saat ini. Kemahiran dalam </w:t>
      </w:r>
      <w:r w:rsidRPr="008805F1">
        <w:rPr>
          <w:rFonts w:ascii="Garamond" w:eastAsia="Times New Roman" w:hAnsi="Garamond" w:cs="Times New Roman"/>
          <w:color w:val="000000"/>
          <w:lang w:eastAsia="zh-CN"/>
        </w:rPr>
        <w:t>menggunakan dan mengimplementasikan teknologi</w:t>
      </w:r>
      <w:r w:rsidRPr="008805F1">
        <w:rPr>
          <w:rFonts w:ascii="Garamond" w:eastAsia="Times New Roman" w:hAnsi="Garamond" w:cs="Times New Roman"/>
          <w:color w:val="000000"/>
          <w:lang w:val="id-ID" w:eastAsia="zh-CN"/>
        </w:rPr>
        <w:t xml:space="preserve"> bukan hanya keterampilan; itu sering menjadi prasyarat untuk sukses di bidang akademisi, bisnis, diplomasi, dan seterusnya </w:t>
      </w:r>
      <w:r w:rsidRPr="008805F1">
        <w:rPr>
          <w:rFonts w:ascii="Garamond" w:eastAsia="Times New Roman" w:hAnsi="Garamond" w:cs="Times New Roman"/>
          <w:color w:val="000000"/>
          <w:lang w:val="id-ID" w:eastAsia="zh-CN"/>
        </w:rPr>
        <w:fldChar w:fldCharType="begin" w:fldLock="1"/>
      </w:r>
      <w:r>
        <w:rPr>
          <w:rFonts w:ascii="Garamond" w:eastAsia="Times New Roman" w:hAnsi="Garamond" w:cs="Times New Roman"/>
          <w:color w:val="000000"/>
          <w:lang w:val="id-ID" w:eastAsia="zh-CN"/>
        </w:rPr>
        <w:instrText>ADDIN CSL_CITATION {"citationItems":[{"id":"ITEM-1","itemData":{"DOI":"10.1016/J.COMPEDU.2023.104862","ISSN":"0360-1315","abstract":"Recent advancements in artificial intelligence have led to the development of chatbots capable of engaging in argumentative dialogues and debates with human users. Although some studies have investigated the use of such chatbots to facilitate argumentation learning outside of the classroom, their integration into in-class learning activities remains largely unexplored. In this study, we developed a novel task design, chatbot-assisted in-class debates (CaIcD), for argumentation learning. In the task design, the students interacted with an argumentative chatbot named Argumate before engaging in debates with their classmates. During their interaction, the chatbot helped the students to generate ideas for supporting their position and predict opposing viewpoints. This study investigated the effects of CaIcD on students' argumentation skills and task motivation. Forty-four Chinese undergraduate students from two classes participated in this study. To examine the effects on argumentation skills in terms of structural complexity and argument quality, we used a pretest–posttest quasi-experimental design. Quade's test results revealed that participation in CaIcD enabled the students to use more claims, data, and warrants to generate arguments and participation in CaIcD led to more organised, sufficient, and elaborated arguments. However, no significant effects on overall structural complexity were found. Moreover, to understand the students' task motivation towards CaIcD, a within-subjects comparison design was employed. The results of the Wilcoxon signed-rank test indicated that the students had a higher level of enjoyment and exerted more effort when engaging in CaIcD than when performing conventional learning tasks. Moreover, the students perceived their performance in CaIcD to be as successful as that in conventional learning tasks, although the CaIcD task presented more challenges to them. However, no significant difference was observed in the students' perceived relevance of the two types of tasks to their argumentation learning. This study provides empirical evidence that integrating argumentative chatbots into classroom debates can lead to improved argumentation skills and higher task motivation among undergraduate students.","author":[{"dropping-particle":"","family":"Guo","given":"Kai","non-dropping-particle":"","parse-names":false,"suffix":""},{"dropping-particle":"","family":"Zhong","given":"Yuchun","non-dropping-particle":"","parse-names":false,"suffix":""},{"dropping-particle":"","family":"Li","given":"Danling","non-dropping-particle":"","parse-names":false,"suffix":""},{"dropping-particle":"","family":"Chu","given":"Samuel Kai Wah","non-dropping-particle":"","parse-names":false,"suffix":""}],"container-title":"Computers &amp; Education","id":"ITEM-1","issued":{"date-parts":[["2023","10","1"]]},"page":"104862","publisher":"Pergamon","title":"Effects of chatbot-assisted in-class debates on students’ argumentation skills and task motivation","type":"article-journal","volume":"203"},"uris":["http://www.mendeley.com/documents/?uuid=7f5f7f11-a09e-3bb5-8a68-430c4e16992f"]}],"mendeley":{"formattedCitation":"(Guo et al., 2023)","plainTextFormattedCitation":"(Guo et al., 2023)","previouslyFormattedCitation":"[11]"},"properties":{"noteIndex":0},"schema":"https://github.com/citation-style-language/schema/raw/master/csl-citation.json"}</w:instrText>
      </w:r>
      <w:r w:rsidRPr="008805F1">
        <w:rPr>
          <w:rFonts w:ascii="Garamond" w:eastAsia="Times New Roman" w:hAnsi="Garamond" w:cs="Times New Roman"/>
          <w:color w:val="000000"/>
          <w:lang w:val="id-ID" w:eastAsia="zh-CN"/>
        </w:rPr>
        <w:fldChar w:fldCharType="separate"/>
      </w:r>
      <w:r w:rsidRPr="008805F1">
        <w:rPr>
          <w:rFonts w:ascii="Garamond" w:eastAsia="Times New Roman" w:hAnsi="Garamond" w:cs="Times New Roman"/>
          <w:noProof/>
          <w:color w:val="000000"/>
          <w:lang w:val="id-ID" w:eastAsia="zh-CN"/>
        </w:rPr>
        <w:t>(Guo et al., 2023)</w:t>
      </w:r>
      <w:r w:rsidRPr="008805F1">
        <w:rPr>
          <w:rFonts w:ascii="Garamond" w:eastAsia="Times New Roman" w:hAnsi="Garamond" w:cs="Times New Roman"/>
          <w:color w:val="000000"/>
          <w:lang w:val="id-ID" w:eastAsia="zh-CN"/>
        </w:rPr>
        <w:fldChar w:fldCharType="end"/>
      </w:r>
      <w:r w:rsidRPr="008805F1">
        <w:rPr>
          <w:rFonts w:ascii="Garamond" w:eastAsia="Times New Roman" w:hAnsi="Garamond" w:cs="Times New Roman"/>
          <w:color w:val="000000"/>
          <w:lang w:val="id-ID" w:eastAsia="zh-CN"/>
        </w:rPr>
        <w:t xml:space="preserve">. Akibatnya, permintaan untuk pendidikan </w:t>
      </w:r>
      <w:r w:rsidRPr="008805F1">
        <w:rPr>
          <w:rFonts w:ascii="Garamond" w:eastAsia="Times New Roman" w:hAnsi="Garamond" w:cs="Times New Roman"/>
          <w:color w:val="000000"/>
          <w:lang w:eastAsia="zh-CN"/>
        </w:rPr>
        <w:t>yang berbasis teknologi sekarang ini</w:t>
      </w:r>
      <w:r w:rsidRPr="008805F1">
        <w:rPr>
          <w:rFonts w:ascii="Garamond" w:eastAsia="Times New Roman" w:hAnsi="Garamond" w:cs="Times New Roman"/>
          <w:color w:val="000000"/>
          <w:lang w:val="id-ID" w:eastAsia="zh-CN"/>
        </w:rPr>
        <w:t xml:space="preserve"> yang efektif telah meroket, mendorong pendidik untuk mencari solusi inovatif untuk memenuhi beragam kebutuhan peserta didik di seluruh dunia. AI, dengan kapasitasnya untuk beradaptasi, personalisasi, dan skalabilitas, muncul sebagai mercusuar harapan dalam pengejaran ini.</w:t>
      </w:r>
    </w:p>
    <w:p w14:paraId="7C00374D" w14:textId="0364E4FE" w:rsidR="008805F1" w:rsidRPr="008805F1" w:rsidRDefault="008805F1"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r w:rsidRPr="008805F1">
        <w:rPr>
          <w:rFonts w:ascii="Garamond" w:eastAsia="Times New Roman" w:hAnsi="Garamond" w:cs="Times New Roman"/>
          <w:color w:val="000000"/>
          <w:lang w:val="id-ID" w:eastAsia="zh-CN"/>
        </w:rPr>
        <w:tab/>
      </w:r>
      <w:r w:rsidR="00FF6B7E">
        <w:rPr>
          <w:rFonts w:ascii="Garamond" w:eastAsia="Times New Roman" w:hAnsi="Garamond" w:cs="Times New Roman"/>
          <w:color w:val="000000"/>
          <w:lang w:val="id-ID" w:eastAsia="zh-CN"/>
        </w:rPr>
        <w:tab/>
      </w:r>
      <w:r w:rsidRPr="008805F1">
        <w:rPr>
          <w:rFonts w:ascii="Garamond" w:eastAsia="Times New Roman" w:hAnsi="Garamond" w:cs="Times New Roman"/>
          <w:color w:val="000000"/>
          <w:lang w:val="id-ID" w:eastAsia="zh-CN"/>
        </w:rPr>
        <w:t>Teknologi berbasis AI mengubah proses belajar mengajar dengan berbagai cara, meningkatkan pengalaman belajar bagi siswa dan pendidik</w:t>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{"citationItems":[{"id":"ITEM-1","itemData":{"DOI":"10.1007/S10639-020-10159-7/TABLES/6","ISSN":"15737608","abstract":"Emergence of the use and application of Artificial Intelligence (AI) in higher education in India has opened new possibilities and challenges. Use of AI in will bring in effective change of governance in the entire internal architecture of Indian Institutes of higher education. The prospect of use of AI includes investigation of educational implications as to how teachers would enrich them, how students would learn, and how accurate and prompt decisions can be taken in the institutes of higher education. This is important since the workload has been multiplied due to massification of higher education. Such being the scenario, help of AI is highly essential. The question of adoption of AI in higher education is an important issue in this perspective. The purpose of this study is to explore how the stakeholders would be able to adopt it. For this, we have taken help of many adoption theories and models including ‘Unified Theory of Acceptance and Use of Technology’ (UTAUT) model. We have developed hypotheses and a conceptual model and got it validated through survey with the help of feedbacks from useable 329 respondents. It has been found that the model can help the authorities to facilitate adoption of AI in higher education.","author":[{"dropping-particle":"","family":"Chatterjee","given":"Sheshadri","non-dropping-particle":"","parse-names":false,"suffix":""},{"dropping-particle":"","family":"Bhattacharjee","given":"Kalyan Kumar","non-dropping-particle":"","parse-names":false,"suffix":""}],"container-title":"Education and Information Technologies","id":"ITEM-1","issue":"5","issued":{"date-parts":[["2020","9","1"]]},"page":"3443-3463","publisher":"Springer","title":"Adoption of artificial intelligence in higher education: a quantitative analysis using structural equation modelling","type":"article-journal","volume":"25"},"uris":["http://www.mendeley.com/documents/?uuid=900b4006-8a79-3aae-bdbd-5238a0978704"]}],"mendeley":{"formattedCitation":"(Chatterjee &amp; Bhattacharjee, 2020)","plainTextFormattedCitation":"(Chatterjee &amp; Bhattacharjee, 2020)","previouslyFormattedCitation":"[9]"},"properties":{"noteIndex":0},"schema":"https://github.com/citation-style-language/schema/raw/master/csl-citation.json"}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(Chatterjee &amp; Bhattacharjee, 2020)</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{"citationItems":[{"id":"ITEM-1","itemData":{"DOI":"10.1186/S41239-019-0171-0","ISSN":"2365-9440","abstract":"According to various international reports, Artificial Intelligence in Education (AIEd) is one of the currently emerging fields in educational technology. Whilst it has been around for about 30</w:instrText>
      </w:r>
      <w:r>
        <w:rPr>
          <w:rFonts w:ascii="Times New Roman" w:eastAsia="Times New Roman" w:hAnsi="Times New Roman" w:cs="Times New Roman"/>
          <w:color w:val="000000"/>
          <w:lang w:eastAsia="zh-CN"/>
        </w:rPr>
        <w:instrText> </w:instrText>
      </w:r>
      <w:r>
        <w:rPr>
          <w:rFonts w:ascii="Garamond" w:eastAsia="Times New Roman" w:hAnsi="Garamond" w:cs="Times New Roman"/>
          <w:color w:val="000000"/>
          <w:lang w:eastAsia="zh-CN"/>
        </w:rPr>
        <w:instrText>years, it is still unclear for educators how to make pedagogical advantage of it on a broader scale, and how it can actually impact meaningfully on teaching and learning in higher education. This paper seeks to provide an overview of research on AI applications in higher education through a systematic review. Out of 2656 initially identified publications for the period between 2007 and 2018, 146 articles were included for final synthesis, according to explicit inclusion and exclusion criteria. The descriptive results show that most of the disciplines involved in AIEd papers come from Computer Science and STEM, and that quantitative methods were the most frequently used in empirical studies. The synthesis of results presents four areas of AIEd applications in academic support services, and institutional and administrative services: 1. profiling and prediction, 2. assessment and evaluation, 3. adaptive systems and personalisation, and 4. intelligent tutoring systems. The conclusions reflect on the almost lack of critical reflection of challenges and risks of AIEd, the weak connection to theoretical pedagogical perspectives, and the need for further exploration of ethical and educational approaches in the application of AIEd in higher education.","author":[{"dropping-particle":"","family":"Zawacki-Richter","given":"Olaf","non-dropping-particle":"","parse-names":false,"suffix":""},{"dropping-particle":"","family":"Marín","given":"Victoria I.","non-dropping-particle":"","parse-names":false,"suffix":""},{"dropping-particle":"","family":"Bond","given":"Melissa","non-dropping-particle":"","parse-names":false,"suffix":""},{"dropping-particle":"","family":"Gouverneur","given":"Franziska","non-dropping-particle":"","parse-names":false,"suffix":""}],"container-title":"International Journal of Educational Technology in Higher Education 2019 16:1","id":"ITEM-1","issue":"1","issued":{"date-parts":[["2019","10","28"]]},"page":"1-27","publisher":"SpringerOpen","title":"Systematic review of research on artificial intelligence applications in higher education – where are the educators?","type":"article-journal","volume":"16"},"uris":["http://www.mendeley.com/documents/?uuid=65bbaf45-96de-390f-96be-ec060fc70bf5"]}],"mendeley":{"formattedCitation":"(Zawacki-Richter et al., 2019)","plainTextFormattedCitation":"(Zawacki-Richter et al., 2019)","previouslyFormattedCitation":"[8]"},"properties":{"noteIndex":0},"schema":"https://github.com/citation-style-language/schema/raw/master/csl-citation.json"}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(Zawacki-Richter et al., 2019)</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{"citationItems":[{"id":"ITEM-1","itemData":{"DOI":"10.3390/SU12145568","ISSN":"2071-1050","abstract":"The teaching of artificial intelligence (AI) topics in school curricula is an important global strategic initiative in educating the next generation. As AI technologies are new to K-12 schools, there is a lack of studies that inform schools’ teachers about AI curriculum design. How to prepare and engage teachers, and which approaches are suitable for planning the curriculum for sustainable development, are unclear. Therefore, this case study aimed to explore the views of teachers with and without AI teaching experience on key considerations for the preparation, implementation and continuous refinement of a formal AI curriculum for K-12 schools. It drew on the self-determination theory (SDT) and four basic curriculum planning approaches—content, product, process and praxis—as theoretical frameworks to explain the research problems and findings. We conducted semi-structured interviews with 24 teachers—twelve with and twelve without experience in teaching AI—and used thematic analysis to analyze the interview data. Our findings revealed that genuine curriculum creation should encompass all four forms of curriculum design approach that are coordinated by teachers’ self-determination to be orchestrators of student learning experiences. This study also proposed a curriculum development cycle for teachers and curriculum officers.","author":[{"dropping-particle":"","family":"Chiu","given":"Thomas K.F.","non-dropping-particle":"","parse-names":false,"suffix":""},{"dropping-particle":"","family":"Chai","given":"Ching Sing","non-dropping-particle":"","parse-names":false,"suffix":""}],"container-title":"Sustainability 2020, Vol. 12, Page 5568","id":"ITEM-1","issue":"14","issued":{"date-parts":[["2020","7","10"]]},"page":"5568","publisher":"Multidisciplinary Digital Publishing Institute","title":"Sustainable Curriculum Planning for Artificial Intelligence Education: A Self-Determination Theory Perspective","type":"article-journal","volume":"12"},"uris":["http://www.mendeley.com/documents/?uuid=6ea4361a-2d64-3a27-a499-cb5e55d2478d"]}],"mendeley":{"formattedCitation":"(Chiu &amp; Chai, 2020)","plainTextFormattedCitation":"(Chiu &amp; Chai, 2020)","previouslyFormattedCitation":"[35]"},"properties":{"noteIndex":0},"schema":"https://github.com/citation-style-language/schema/raw/master/csl-citation.json"}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(Chiu &amp; Chai, 2020)</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val="id-ID" w:eastAsia="zh-CN"/>
        </w:rPr>
        <w:t>. Dari sistem bimbingan cerdas dan alat penilaian otomatis hingga agen percakapan</w:t>
      </w:r>
      <w:r w:rsidRPr="008805F1">
        <w:rPr>
          <w:rFonts w:ascii="Garamond" w:eastAsia="Times New Roman" w:hAnsi="Garamond" w:cs="Times New Roman"/>
          <w:color w:val="000000"/>
          <w:lang w:eastAsia="zh-CN"/>
        </w:rPr>
        <w:t xml:space="preserve"> (chatbots)</w:t>
      </w:r>
      <w:r w:rsidRPr="008805F1">
        <w:rPr>
          <w:rFonts w:ascii="Garamond" w:eastAsia="Times New Roman" w:hAnsi="Garamond" w:cs="Times New Roman"/>
          <w:color w:val="000000"/>
          <w:lang w:val="id-ID" w:eastAsia="zh-CN"/>
        </w:rPr>
        <w:t xml:space="preserve">, AI mengubah lanskap proses dan instruksi belajar mengajar </w:t>
      </w:r>
      <w:r w:rsidRPr="008805F1">
        <w:rPr>
          <w:rFonts w:ascii="Garamond" w:eastAsia="Times New Roman" w:hAnsi="Garamond" w:cs="Times New Roman"/>
          <w:color w:val="000000"/>
          <w:lang w:val="id-ID" w:eastAsia="zh-CN"/>
        </w:rPr>
        <w:fldChar w:fldCharType="begin" w:fldLock="1"/>
      </w:r>
      <w:r>
        <w:rPr>
          <w:rFonts w:ascii="Garamond" w:eastAsia="Times New Roman" w:hAnsi="Garamond" w:cs="Times New Roman"/>
          <w:color w:val="000000"/>
          <w:lang w:val="id-ID" w:eastAsia="zh-CN"/>
        </w:rPr>
        <w:instrText>ADDIN CSL_CITATION {"citationItems":[{"id":"ITEM-1","itemData":{"DOI":"10.1155/2021/8812542","ISSN":"10990526","abstract":"This study provided a content analysis of studies aiming to disclose how artificial intelligence (AI) has been applied to the education sector and explore the potential research trends and challenges of AI in education. A total of 100 papers including 63 empirical papers (74 studies) and 37 analytic papers were selected from the education and educational research category of Social Sciences Citation Index database from 2010 to 2020. The content analysis showed that the research questions could be classified into development layer (classification, matching, recommendation, and deep learning), application layer (feedback, reasoning, and adaptive learning), and integration layer (affection computing, role-playing, immersive learning, and gamification). Moreover, four research trends, including Internet of Things, swarm intelligence, deep learning, and neuroscience, as well as an assessment of AI in education, were suggested for further investigation. However, we also proposed the challenges in education may be caused by AI with regard to inappropriate use of AI techniques, changing roles of teachers and students, as well as social and ethical issues. The results provide insights into an overview of the AI used for education domain, which helps to strengthen the theoretical foundation of AI in education and provides a promising channel for educators and AI engineers to carry out further collaborative research.","author":[{"dropping-particle":"","family":"Zhai","given":"Xuesong","non-dropping-particle":"","parse-names":false,"suffix":""},{"dropping-particle":"","family":"Chu","given":"Xiaoyan","non-dropping-particle":"","parse-names":false,"suffix":""},{"dropping-particle":"","family":"Chai","given":"Ching Sing","non-dropping-particle":"","parse-names":false,"suffix":""},{"dropping-particle":"","family":"Jong","given":"Morris Siu Yung","non-dropping-particle":"","parse-names":false,"suffix":""},{"dropping-particle":"","family":"Istenic","given":"Andreja","non-dropping-particle":"","parse-names":false,"suffix":""},{"dropping-particle":"","family":"Spector","given":"Michael","non-dropping-particle":"","parse-names":false,"suffix":""},{"dropping-particle":"","family":"Liu","given":"Jia Bao","non-dropping-particle":"","parse-names":false,"suffix":""},{"dropping-particle":"","family":"Yuan","given":"Jing","non-dropping-particle":"","parse-names":false,"suffix":""},{"dropping-particle":"","family":"Li","given":"Yan","non-dropping-particle":"","parse-names":false,"suffix":""}],"container-title":"Complexity","id":"ITEM-1","issued":{"date-parts":[["2021"]]},"publisher":"Hindawi Limited","title":"A Review of Artificial Intelligence (AI) in Education from 2010 to 2020","type":"article-journal","volume":"2021"},"uris":["http://www.mendeley.com/documents/?uuid=3b529290-1269-337d-8cba-69d91842dc33"]}],"mendeley":{"formattedCitation":"(Zhai et al., 2021)","plainTextFormattedCitation":"(Zhai et al., 2021)","previouslyFormattedCitation":"[30]"},"properties":{"noteIndex":0},"schema":"https://github.com/citation-style-language/schema/raw/master/csl-citation.json"}</w:instrText>
      </w:r>
      <w:r w:rsidRPr="008805F1">
        <w:rPr>
          <w:rFonts w:ascii="Garamond" w:eastAsia="Times New Roman" w:hAnsi="Garamond" w:cs="Times New Roman"/>
          <w:color w:val="000000"/>
          <w:lang w:val="id-ID" w:eastAsia="zh-CN"/>
        </w:rPr>
        <w:fldChar w:fldCharType="separate"/>
      </w:r>
      <w:r w:rsidRPr="008805F1">
        <w:rPr>
          <w:rFonts w:ascii="Garamond" w:eastAsia="Times New Roman" w:hAnsi="Garamond" w:cs="Times New Roman"/>
          <w:noProof/>
          <w:color w:val="000000"/>
          <w:lang w:val="id-ID" w:eastAsia="zh-CN"/>
        </w:rPr>
        <w:t>(Zhai et al., 2021)</w:t>
      </w:r>
      <w:r w:rsidRPr="008805F1">
        <w:rPr>
          <w:rFonts w:ascii="Garamond" w:eastAsia="Times New Roman" w:hAnsi="Garamond" w:cs="Times New Roman"/>
          <w:color w:val="000000"/>
          <w:lang w:val="id-ID" w:eastAsia="zh-CN"/>
        </w:rPr>
        <w:fldChar w:fldCharType="end"/>
      </w:r>
      <w:r w:rsidRPr="008805F1">
        <w:rPr>
          <w:rFonts w:ascii="Garamond" w:eastAsia="Times New Roman" w:hAnsi="Garamond" w:cs="Times New Roman"/>
          <w:color w:val="000000"/>
          <w:lang w:val="id-ID" w:eastAsia="zh-CN"/>
        </w:rPr>
        <w:t>. Transformasi ini lebih dari sekadar otomatisasi; Ini menyentuh inti pedagogi dengan mengatasi beberapa aspek yang paling menantang dari proses pembelajaran, seperti individualisasi, keterlibatan, dan aksesibilitas.</w:t>
      </w:r>
    </w:p>
    <w:p w14:paraId="2F568C85" w14:textId="50B18F5B" w:rsidR="008805F1" w:rsidRPr="008805F1" w:rsidRDefault="008805F1"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r w:rsidRPr="008805F1">
        <w:rPr>
          <w:rFonts w:ascii="Garamond" w:eastAsia="Times New Roman" w:hAnsi="Garamond" w:cs="Times New Roman"/>
          <w:color w:val="000000"/>
          <w:lang w:val="id-ID" w:eastAsia="zh-CN"/>
        </w:rPr>
        <w:tab/>
      </w:r>
      <w:r w:rsidR="00FF6B7E">
        <w:rPr>
          <w:rFonts w:ascii="Garamond" w:eastAsia="Times New Roman" w:hAnsi="Garamond" w:cs="Times New Roman"/>
          <w:color w:val="000000"/>
          <w:lang w:val="id-ID" w:eastAsia="zh-CN"/>
        </w:rPr>
        <w:tab/>
      </w:r>
      <w:r w:rsidRPr="008805F1">
        <w:rPr>
          <w:rFonts w:ascii="Garamond" w:eastAsia="Times New Roman" w:hAnsi="Garamond" w:cs="Times New Roman"/>
          <w:color w:val="000000"/>
          <w:lang w:val="id-ID" w:eastAsia="zh-CN"/>
        </w:rPr>
        <w:t xml:space="preserve">Pada intinya, penggabungan AI dalam proses belajar mengajar berupaya menciptakan lingkungan yang lebih responsif, efisien, dan berpusat pada siswa. Ini memungkinkan pendidik untuk mempersonalisasi instruksi untuk memenuhi kebutuhan unik dan gaya belajar masing-masing siswa </w:t>
      </w:r>
      <w:r w:rsidRPr="008805F1">
        <w:rPr>
          <w:rFonts w:ascii="Garamond" w:eastAsia="Times New Roman" w:hAnsi="Garamond" w:cs="Times New Roman"/>
          <w:color w:val="000000"/>
          <w:lang w:val="id-ID" w:eastAsia="zh-CN"/>
        </w:rPr>
        <w:fldChar w:fldCharType="begin" w:fldLock="1"/>
      </w:r>
      <w:r>
        <w:rPr>
          <w:rFonts w:ascii="Garamond" w:eastAsia="Times New Roman" w:hAnsi="Garamond" w:cs="Times New Roman"/>
          <w:color w:val="000000"/>
          <w:lang w:val="id-ID" w:eastAsia="zh-CN"/>
        </w:rPr>
        <w:instrText>ADDIN CSL_CITATION {"citationItems":[{"id":"ITEM-1","itemData":{"DOI":"10.18608/jla.2023.7801","ISSN":"1929-7750","abstract":"Ethical considerations, including transparency, play an important role when using artificial intelligence (AI) in education. Explainable AI has been coined as a solution to provide more insight into the inner workings of AI algorithms. However, carefully designed user studies on how to design explanations for AI in education are still limited. The current study aimed to identify the effect of explanations of an automated essay scoring system on students’ trust and motivation. The explanations were designed using a needs-elicitation study with students in combination with guidelines and frameworks of explainable AI. Two types of explanations were tested: full-text global explanations and an accuracy statement. The results showed that both explanations did not have an effect on student trust or motivation compared to no explanations. Interestingly, the grade provided by the system, and especially the difference between the student’s self-estimated grade and the system grade, showed a large influence. Hence, it is important to consider the effects of the outcome of the system (here: grade) when considering the effect of explanations of AI in education.","author":[{"dropping-particle":"","family":"Conijn","given":"Rianne","non-dropping-particle":"","parse-names":false,"suffix":""},{"dropping-particle":"","family":"Kahr","given":"Patricia","non-dropping-particle":"","parse-names":false,"suffix":""},{"dropping-particle":"","family":"Snijders","given":"Chris","non-dropping-particle":"","parse-names":false,"suffix":""}],"container-title":"Journal of Learning Analytics","id":"ITEM-1","issue":"1","issued":{"date-parts":[["2023","3","12"]]},"page":"37-53","publisher":"Society for Learning Analytics Research (SOLAR)","title":"The Effects of Explanations in Automated Essay Scoring Systems on Student Trust and Motivation","type":"article-journal","volume":"10"},"uris":["http://www.mendeley.com/documents/?uuid=71112968-e92b-3d41-aec1-107e5ceab6ef"]}],"mendeley":{"formattedCitation":"(Conijn et al., 2023)","plainTextFormattedCitation":"(Conijn et al., 2023)","previouslyFormattedCitation":"[27]"},"properties":{"noteIndex":0},"schema":"https://github.com/citation-style-language/schema/raw/master/csl-citation.json"}</w:instrText>
      </w:r>
      <w:r w:rsidRPr="008805F1">
        <w:rPr>
          <w:rFonts w:ascii="Garamond" w:eastAsia="Times New Roman" w:hAnsi="Garamond" w:cs="Times New Roman"/>
          <w:color w:val="000000"/>
          <w:lang w:val="id-ID" w:eastAsia="zh-CN"/>
        </w:rPr>
        <w:fldChar w:fldCharType="separate"/>
      </w:r>
      <w:r w:rsidRPr="008805F1">
        <w:rPr>
          <w:rFonts w:ascii="Garamond" w:eastAsia="Times New Roman" w:hAnsi="Garamond" w:cs="Times New Roman"/>
          <w:noProof/>
          <w:color w:val="000000"/>
          <w:lang w:val="id-ID" w:eastAsia="zh-CN"/>
        </w:rPr>
        <w:t>(Conijn et al., 2023)</w:t>
      </w:r>
      <w:r w:rsidRPr="008805F1">
        <w:rPr>
          <w:rFonts w:ascii="Garamond" w:eastAsia="Times New Roman" w:hAnsi="Garamond" w:cs="Times New Roman"/>
          <w:color w:val="000000"/>
          <w:lang w:val="id-ID" w:eastAsia="zh-CN"/>
        </w:rPr>
        <w:fldChar w:fldCharType="end"/>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{"citationItems":[{"id":"ITEM-1","itemData":{"DOI":"10.3390/SU12145568","ISSN":"2071-1050","abstract":"The teaching of artificial intelligence (AI) topics in school curricula is an important global strategic initiative in educating the next generation. As AI technologies are new to K-12 schools, there is a lack of studies that inform schools’ teachers about AI curriculum design. How to prepare and engage teachers, and which approaches are suitable for planning the curriculum for sustainable development, are unclear. Therefore, this case study aimed to explore the views of teachers with and without AI teaching experience on key considerations for the preparation, implementation and continuous refinement of a formal AI curriculum for K-12 schools. It drew on the self-determination theory (SDT) and four basic curriculum planning approaches—content, product, process and praxis—as theoretical frameworks to explain the research problems and findings. We conducted semi-structured interviews with 24 teachers—twelve with and twelve without experience in teaching AI—and used thematic analysis to analyze the interview data. Our findings revealed that genuine curriculum creation should encompass all four forms of curriculum design approach that are coordinated by teachers’ self-determination to be orchestrators of student learning experiences. This study also proposed a curriculum development cycle for teachers and curriculum officers.","author":[{"dropping-particle":"","family":"Chiu","given":"Thomas K.F.","non-dropping-particle":"","parse-names":false,"suffix":""},{"dropping-particle":"","family":"Chai","given":"Ching Sing","non-dropping-particle":"","parse-names":false,"suffix":""}],"container-title":"Sustainability 2020, Vol. 12, Page 5568","id":"ITEM-1","issue":"14","issued":{"date-parts":[["2020","7","10"]]},"page":"5568","publisher":"Multidisciplinary Digital Publishing Institute","title":"Sustainable Curriculum Planning for Artificial Intelligence Education: A Self-Determination Theory Perspective","type":"article-journal","volume":"12"},"uris":["http://www.mendeley.com/documents/?uuid=6ea4361a-2d64-3a27-a499-cb5e55d2478d"]}],"mendeley":{"formattedCitation":"(Chiu &amp; Chai, 2020)","plainTextFormattedCitation":"(Chiu &amp; Chai, 2020)","previouslyFormattedCitation":"[35]"},"properties":{"noteIndex":0},"schema":"https://github.com/citation-style-language/schema/raw/master/csl-citation.json"}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(Chiu &amp; Chai, 2020)</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{"citationItems":[{"id":"ITEM-1","itemData":{"DOI":"10.24191/AJUE.V17I3.14499","ISSN":"2600-9749","abstract":"The purpose of this study is twofold: 1) to develop a service-learning-based module training artificial intelligence (AI) subject (SLBM-TAIS), and 2) to evaluate the effect of SLBM-TAIS on preservice teachers' (PSTs‘) practical knowledge and motivation, as well as primary school students’ attitude towards AI in China. Participants of this study comprised 60 PSTs and 107 primary school students. The experimental research in this study followed the quasi-experimental non-randomized pretest and post-test control group design. The PSTs were divided into experimental and control groups, and the primary school students followed the same grouping. The PSTs in the experimental group taught AI subjects to the primary school students in the experimental group, while the PSTs in the control group taught AI subjects to the primary school students in the control group. The results of the study showed that SLBM-TAIS was effective in training PSTs to teach AI subjects to primary school students. Furthermore, the SLBM-TAIS developed in this study offered a unique technique for training PSTs and primary school students that could increase PSTs' practical knowledge and motivation, as well as primary school students' attitudes toward AI. The findings from this study are important in the field of educational psychology, and its contribution has several theoretical and practical implications.","author":[{"dropping-particle":"","family":"Pu","given":"Song","non-dropping-particle":"","parse-names":false,"suffix":""},{"dropping-particle":"","family":"Ahmad","given":"Nor Aniza","non-dropping-particle":"","parse-names":false,"suffix":""},{"dropping-particle":"","family":"Khambari","given":"Mas Nida Md","non-dropping-particle":"","parse-names":false,"suffix":""},{"dropping-particle":"","family":"Yap","given":"Ng Keng","non-dropping-particle":"","parse-names":false,"suffix":""},{"dropping-particle":"","family":"Ahrari","given":"Seyedali","non-dropping-particle":"","parse-names":false,"suffix":""}],"container-title":"Asian Journal of University Education","id":"ITEM-1","issue":"3","issued":{"date-parts":[["2021","8","1"]]},"page":"203-219","publisher":"UiTM Press","title":"Improvement of Pre-Service Teachers' Practical Knowledge and Motivation about Artificial Intelligence through a Service-learning-based Module in Guizhou, China: A Quasi-Experimental Study","type":"article-journal","volume":"17"},"uris":["http://www.mendeley.com/documents/?uuid=c0dd96d1-280b-3c03-b53f-5558b07d082e"]}],"mendeley":{"formattedCitation":"(Pu et al., 2021)","plainTextFormattedCitation":"(Pu et al., 2021)","previouslyFormattedCitation":"[19]"},"properties":{"noteIndex":0},"schema":"https://github.com/citation-style-language/schema/raw/master/csl-citation.json"}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(Pu et al., 2021)</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val="id-ID" w:eastAsia="zh-CN"/>
        </w:rPr>
        <w:t>. Algoritme AI menganalisis kinerja siswa, mengidentifikasi area peningkatan, dan menyesuaikan materi dan aktivitas pembelajaran yang sesuai. Kemampuan beradaptasi ini sangat selaras dengan prinsip-prinsip instruksi yang berbeda, memastikan bahwa setiap pelajar dapat maju dengan kecepatan mereka sendiri. Selain itu, AI membawa dimensi baru untuk penilaian dan umpan balik. Sistem penilaian otomatis dapat dengan cepat mengevaluasi tugas tertulis, memberikan umpan balik terperinci yang membantu siswa dalam meningkatkan keterampilan mereka. Ini tidak hanya mengurangi beban pendidik tetapi juga memastikan bahwa siswa menerima bimbingan tepat waktu, meningkatkan pengalaman belajar mereka.</w:t>
      </w:r>
    </w:p>
    <w:p w14:paraId="2659946C" w14:textId="46D580E8" w:rsidR="008805F1" w:rsidRPr="008805F1" w:rsidRDefault="008805F1"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r w:rsidRPr="008805F1">
        <w:rPr>
          <w:rFonts w:ascii="Garamond" w:eastAsia="Times New Roman" w:hAnsi="Garamond" w:cs="Times New Roman"/>
          <w:color w:val="000000"/>
          <w:lang w:val="id-ID" w:eastAsia="zh-CN"/>
        </w:rPr>
        <w:tab/>
      </w:r>
      <w:r w:rsidR="00FF6B7E">
        <w:rPr>
          <w:rFonts w:ascii="Garamond" w:eastAsia="Times New Roman" w:hAnsi="Garamond" w:cs="Times New Roman"/>
          <w:color w:val="000000"/>
          <w:lang w:val="id-ID" w:eastAsia="zh-CN"/>
        </w:rPr>
        <w:tab/>
      </w:r>
      <w:r w:rsidRPr="008805F1">
        <w:rPr>
          <w:rFonts w:ascii="Garamond" w:eastAsia="Times New Roman" w:hAnsi="Garamond" w:cs="Times New Roman"/>
          <w:color w:val="000000"/>
          <w:lang w:val="id-ID" w:eastAsia="zh-CN"/>
        </w:rPr>
        <w:t>Selain personalisasi dan penilaian, AI mendorong keterlibatan dalam pengajaran dan pembelajaran di kelas. Seperti yang disebutkan</w:t>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{"citationItems":[{"id":"ITEM-1","itemData":{"DOI":"10.1016/J.CAEAI.2021.100008","ISSN":"2666-920X","abstract":"The inevitable rise and development of artificial intelligence (AI) was not a sudden occurrence. The greater the effect that AI has on humans, the more pressing the need is for us to understand it. This paper addresses research on the use of AI to evaluate new design methods and tools that can be leveraged to advance AI research, education, policy, and practice to improve the human condition. AI has the potential to educate, train, and improve the performance of humans, making them better at their tasks and activities. The use of AI can enhance human welfare in numerous respects, such as through improving the productivity of food, health, water, education, and energy services. However, the misuse of AI due to algorithm bias and a lack of governance could inhibit human rights and result in employment, gender, and racial inequality. We envision that AI can evolve into human-centered AI (HAI), which refers to approaching AI from a human perspective by considering human conditions and contexts. Most current discussions on AI technology focus on how AI can enable human performance. However, we explore AI can also inhibit the human condition and advocate for an in-depth dialog between technology- and humanity-based researchers to improve understanding of HAI from various perspectives.","author":[{"dropping-particle":"","family":"Yang","given":"Stephen J.H.","non-dropping-particle":"","parse-names":false,"suffix":""},{"dropping-particle":"","family":"Ogata","given":"Hiroaki","non-dropping-particle":"","parse-names":false,"suffix":""},{"dropping-particle":"","family":"Matsui","given":"Tatsunori","non-dropping-particle":"","parse-names":false,"suffix":""},{"dropping-particle":"","family":"Chen","given":"Nian Shing","non-dropping-particle":"","parse-names":false,"suffix":""}],"container-title":"Computers and Education: Artificial Intelligence","id":"ITEM-1","issued":{"date-parts":[["2021","1","1"]]},"page":"100008","publisher":"Elsevier","title":"Human-centered artificial intelligence in education: Seeing the invisible through the visible","type":"article-journal","volume":"2"},"uris":["http://www.mendeley.com/documents/?uuid=eb4f5e86-8f77-32ab-b9d5-91ea92db4a0d"]}],"mendeley":{"formattedCitation":"(Yang et al., 2021)","plainTextFormattedCitation":"(Yang et al., 2021)","previouslyFormattedCitation":"[10]"},"properties":{"noteIndex":0},"schema":"https://github.com/citation-style-language/schema/raw/master/csl-citation.json"}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(Yang et al., 2021)</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val="id-ID" w:eastAsia="zh-CN"/>
        </w:rPr>
        <w:t xml:space="preserve">, elemen Gamification, chatbot, instruktur virtual, dan simulasi imersif semuanya berfungsi untuk membuat proses pembelajaran menjadi usaha yang lebih interaktif </w:t>
      </w:r>
      <w:r w:rsidRPr="008805F1">
        <w:rPr>
          <w:rFonts w:ascii="Garamond" w:eastAsia="Times New Roman" w:hAnsi="Garamond" w:cs="Times New Roman"/>
          <w:color w:val="000000"/>
          <w:lang w:val="id-ID" w:eastAsia="zh-CN"/>
        </w:rPr>
        <w:lastRenderedPageBreak/>
        <w:t>dan menyenangkan. Teknologi ini memanfaatkan motivasi ekstrinsik siswa sementara juga memelihara motivasi intrinsik melalui kenikmatan semata-mata dari proses pembelajaran. Aksesibilitas adalah dimensi penting lainnya di mana AI bersinar</w:t>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{"citationItems":[{"id":"ITEM-1","itemData":{"DOI":"10.1186/S41239-019-0171-0","ISSN":"2365-9440","abstract":"According to various international reports, Artificial Intelligence in Education (AIEd) is one of the currently emerging fields in educational technology. Whilst it has been around for about 30</w:instrText>
      </w:r>
      <w:r>
        <w:rPr>
          <w:rFonts w:ascii="Times New Roman" w:eastAsia="Times New Roman" w:hAnsi="Times New Roman" w:cs="Times New Roman"/>
          <w:color w:val="000000"/>
          <w:lang w:eastAsia="zh-CN"/>
        </w:rPr>
        <w:instrText> </w:instrText>
      </w:r>
      <w:r>
        <w:rPr>
          <w:rFonts w:ascii="Garamond" w:eastAsia="Times New Roman" w:hAnsi="Garamond" w:cs="Times New Roman"/>
          <w:color w:val="000000"/>
          <w:lang w:eastAsia="zh-CN"/>
        </w:rPr>
        <w:instrText>years, it is still unclear for educators how to make pedagogical advantage of it on a broader scale, and how it can actually impact meaningfully on teaching and learning in higher education. This paper seeks to provide an overview of research on AI applications in higher education through a systematic review. Out of 2656 initially identified publications for the period between 2007 and 2018, 146 articles were included for final synthesis, according to explicit inclusion and exclusion criteria. The descriptive results show that most of the disciplines involved in AIEd papers come from Computer Science and STEM, and that quantitative methods were the most frequently used in empirical studies. The synthesis of results presents four areas of AIEd applications in academic support services, and institutional and administrative services: 1. profiling and prediction, 2. assessment and evaluation, 3. adaptive systems and personalisation, and 4. intelligent tutoring systems. The conclusions reflect on the almost lack of critical reflection of challenges and risks of AIEd, the weak connection to theoretical pedagogical perspectives, and the need for further exploration of ethical and educational approaches in the application of AIEd in higher education.","author":[{"dropping-particle":"","family":"Zawacki-Richter","given":"Olaf","non-dropping-particle":"","parse-names":false,"suffix":""},{"dropping-particle":"","family":"Marín","given":"Victoria I.","non-dropping-particle":"","parse-names":false,"suffix":""},{"dropping-particle":"","family":"Bond","given":"Melissa","non-dropping-particle":"","parse-names":false,"suffix":""},{"dropping-particle":"","family":"Gouverneur","given":"Franziska","non-dropping-particle":"","parse-names":false,"suffix":""}],"container-title":"International Journal of Educational Technology in Higher Education 2019 16:1","id":"ITEM-1","issue":"1","issued":{"date-parts":[["2019","10","28"]]},"page":"1-27","publisher":"SpringerOpen","title":"Systematic review of research on artificial intelligence applications in higher education – where are the educators?","type":"article-journal","volume":"16"},"uris":["http://www.mendeley.com/documents/?uuid=65bbaf45-96de-390f-96be-ec060fc70bf5"]}],"mendeley":{"formattedCitation":"(Zawacki-Richter et al., 2019)","plainTextFormattedCitation":"(Zawacki-Richter et al., 2019)","previouslyFormattedCitation":"[8]"},"properties":{"noteIndex":0},"schema":"https://github.com/citation-style-language/schema/raw/master/csl-citation.json"}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(Zawacki-Richter et al., 2019)</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val="id-ID" w:eastAsia="zh-CN"/>
        </w:rPr>
        <w:t>. Alat penilaian, pengenalan suara, dan aplikasi text-to-speech memecah beberapa hambatan pembelajaran, membuat proses pembelajaran lebih inklusif dan adil. AI meratakan lapangan bermain, memungkinkan siswa dari beragam latar belakang pengetahuan dan kemampuan untuk mengakses instruksi pembelajaran berkualitas tinggi.</w:t>
      </w:r>
    </w:p>
    <w:p w14:paraId="559FBF5C" w14:textId="07BF1EE0" w:rsidR="008805F1" w:rsidRPr="008805F1" w:rsidRDefault="008805F1"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r w:rsidRPr="008805F1">
        <w:rPr>
          <w:rFonts w:ascii="Garamond" w:eastAsia="Times New Roman" w:hAnsi="Garamond" w:cs="Times New Roman"/>
          <w:color w:val="000000"/>
          <w:lang w:val="id-ID" w:eastAsia="zh-CN"/>
        </w:rPr>
        <w:tab/>
      </w:r>
      <w:r w:rsidR="00FF6B7E">
        <w:rPr>
          <w:rFonts w:ascii="Garamond" w:eastAsia="Times New Roman" w:hAnsi="Garamond" w:cs="Times New Roman"/>
          <w:color w:val="000000"/>
          <w:lang w:val="id-ID" w:eastAsia="zh-CN"/>
        </w:rPr>
        <w:tab/>
      </w:r>
      <w:r w:rsidRPr="008805F1">
        <w:rPr>
          <w:rFonts w:ascii="Garamond" w:eastAsia="Times New Roman" w:hAnsi="Garamond" w:cs="Times New Roman"/>
          <w:color w:val="000000"/>
          <w:lang w:val="id-ID" w:eastAsia="zh-CN"/>
        </w:rPr>
        <w:t>Namun, saat kita menavigasi dunia AI baru yang berani ini dalam proses belajar mengajar, kita juga harus menghadapi pertimbangan etis, kekhawatiran tentang privasi data, dan pertanyaan tentang peran pendidik dalam lanskap yang berkembang ini. Mencapai keseimbangan yang tepat antara interaksi manusia dan instruksi berbasis AI adalah tantangan utama. Bagaimana pendidik dapat memanfaatkan AI sebagai alat pelengkap daripada pengganti? Bagaimana kita bisa memastikan bahwa AI menghormati latar belakang budaya dan pengetahuan siswa yang beragam?</w:t>
      </w:r>
    </w:p>
    <w:p w14:paraId="6C7D1B3D" w14:textId="4A101BA4" w:rsidR="008805F1" w:rsidRPr="008805F1" w:rsidRDefault="008805F1"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r w:rsidRPr="008805F1">
        <w:rPr>
          <w:rFonts w:ascii="Garamond" w:eastAsia="Times New Roman" w:hAnsi="Garamond" w:cs="Times New Roman"/>
          <w:color w:val="000000"/>
          <w:lang w:val="id-ID" w:eastAsia="zh-CN"/>
        </w:rPr>
        <w:tab/>
      </w:r>
      <w:r w:rsidR="00FF6B7E">
        <w:rPr>
          <w:rFonts w:ascii="Garamond" w:eastAsia="Times New Roman" w:hAnsi="Garamond" w:cs="Times New Roman"/>
          <w:color w:val="000000"/>
          <w:lang w:val="id-ID" w:eastAsia="zh-CN"/>
        </w:rPr>
        <w:tab/>
      </w:r>
      <w:r w:rsidRPr="008805F1">
        <w:rPr>
          <w:rFonts w:ascii="Garamond" w:eastAsia="Times New Roman" w:hAnsi="Garamond" w:cs="Times New Roman"/>
          <w:color w:val="000000"/>
          <w:lang w:val="id-ID" w:eastAsia="zh-CN"/>
        </w:rPr>
        <w:t>Dalam makalah ini, integrasi AI ke dalam proses belajar mengajar menandakan perubahan paradigma yang luar biasa di bidang pendidikan</w:t>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{"citationItems":[{"id":"ITEM-1","itemData":{"DOI":"10.1007/S10639-022-11547-X/METRICS","ISSN":"15737608","abstract":"Artificial intelligence (AI) has the potential to support self-regulated learning (SRL) because of its strong anthropomorphic characteristics. However, most studies of AI in education have focused on cognitive outcomes in higher education, and little research has examined how psychological needs affect SRL with AI in the K–12 setting. SRL is a self-directed process driven by psychological factors that can be explained by the three basic needs of self-determination theory (SDT), i.e., autonomy, competence, and relatedness. This study fills a research gap by examining the moderating effects of need satisfaction and gender in predicting SRL among Grade 9 students. The results indicate that girls perceive more need support than boys. In predicting SRL, satisfaction of the need for autonomy and competence is moderated by both gender and AI knowledge, whereas satisfaction of the need for relatedness is moderated by gender only. Particularly among girls, the effects of autonomy and competence more strongly predict SRL when AI knowledge is low. These findings confirm the gender differences in need satisfaction when predicting SRL with a chatbot. The findings have implications for both teacher instruction and the design and development of intelligent learning environments.","author":[{"dropping-particle":"","family":"Xia","given":"Qi","non-dropping-particle":"","parse-names":false,"suffix":""},{"dropping-particle":"","family":"Chiu","given":"Thomas K.F.","non-dropping-particle":"","parse-names":false,"suffix":""},{"dropping-particle":"","family":"Chai","given":"Ching Sing","non-dropping-particle":"","parse-names":false,"suffix":""}],"container-title":"Education and Information Technologies","id":"ITEM-1","issue":"7","issued":{"date-parts":[["2022","7","1"]]},"page":"8691-8713","publisher":"Springer","title":"The moderating effects of gender and need satisfaction on self-regulated learning through Artificial Intelligence (AI)","type":"article-journal","volume":"28"},"uris":["http://www.mendeley.com/documents/?uuid=67571282-5c7e-3055-94d4-d372867fabc3"]}],"mendeley":{"formattedCitation":"(Xia et al., 2022)","plainTextFormattedCitation":"(Xia et al., 2022)","previouslyFormattedCitation":"[16]"},"properties":{"noteIndex":0},"schema":"https://github.com/citation-style-language/schema/raw/master/csl-citation.json"}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(Xia et al., 2022)</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{"citationItems":[{"id":"ITEM-1","itemData":{"DOI":"10.24059/olj.v25i1.2454","ISSN":"-2472-574","abstract":"In Hong Kong, after-school activities have long been used to foster friendships and to allow students to pursue their interests in an informal setting. This case study reports on a three-phase action research process in which information technology teachers delivered after-school activities focused on artificial intelligence during the COVID-19 transition to remote learning. Using semi-structured interviews, a motivational questionnaire, and lesson observations, this study describes how extracurricular activities were delivered online using social networking sites and how students perceived the new experience. Our results suggest that, in order to deploy meaningful activities via social media, teachers need to build collaborative environments that facilitate social engagement among students. These findings have implications for new practices in social media and other blended technologies, and can help students strike a healthy balance between their academic and non-academic life","author":[{"dropping-particle":"","family":"Tsz","given":"Davy","non-dropping-particle":"","parse-names":false,"suffix":""},{"dropping-particle":"","family":"Ng","given":"Kit","non-dropping-particle":"","parse-names":false,"suffix":""},{"dropping-particle":"","family":"Kai","given":"Samuel","non-dropping-particle":"","parse-names":false,"suffix":""},{"dropping-particle":"","family":"Chu","given":"Wah","non-dropping-particle":"","parse-names":false,"suffix":""}],"container-title":"Online Learning","id":"ITEM-1","issue":"1","issued":{"date-parts":[["2021","3"]]},"page":"195-208","publisher":"Online Learning Consortium, Inc. P.O. Box 1238, Newburyport, MA 01950. Tel: 888-898-6209; Fax: 888-898-6209; e-mail: olj@onlinelearning-c.org; Web site: https://olj.onlinelearningconsortium.org/index.php/olj/index","title":"Motivating Students to Learn AI through Social Networking Sites: A Case Study in Hong Kong.","type":"article-journal","volume":"25"},"uris":["http://www.mendeley.com/documents/?uuid=b5fa700d-7659-319d-a21d-0000c08166c9"]}],"mendeley":{"formattedCitation":"(Tsz et al., 2021)","plainTextFormattedCitation":"(Tsz et al., 2021)","previouslyFormattedCitation":"[14]"},"properties":{"noteIndex":0},"schema":"https://github.com/citation-style-language/schema/raw/master/csl-citation.json"}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(Tsz et al., 2021)</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{"citationItems":[{"id":"ITEM-1","itemData":{"DOI":"10.1186/S41239-019-0171-0","ISSN":"2365-9440","abstract":"According to various international reports, Artificial Intelligence in Education (AIEd) is one of the currently emerging fields in educational technology. Whilst it has been around for about 30</w:instrText>
      </w:r>
      <w:r>
        <w:rPr>
          <w:rFonts w:ascii="Times New Roman" w:eastAsia="Times New Roman" w:hAnsi="Times New Roman" w:cs="Times New Roman"/>
          <w:color w:val="000000"/>
          <w:lang w:eastAsia="zh-CN"/>
        </w:rPr>
        <w:instrText> </w:instrText>
      </w:r>
      <w:r>
        <w:rPr>
          <w:rFonts w:ascii="Garamond" w:eastAsia="Times New Roman" w:hAnsi="Garamond" w:cs="Times New Roman"/>
          <w:color w:val="000000"/>
          <w:lang w:eastAsia="zh-CN"/>
        </w:rPr>
        <w:instrText>years, it is still unclear for educators how to make pedagogical advantage of it on a broader scale, and how it can actually impact meaningfully on teaching and learning in higher education. This paper seeks to provide an overview of research on AI applications in higher education through a systematic review. Out of 2656 initially identified publications for the period between 2007 and 2018, 146 articles were included for final synthesis, according to explicit inclusion and exclusion criteria. The descriptive results show that most of the disciplines involved in AIEd papers come from Computer Science and STEM, and that quantitative methods were the most frequently used in empirical studies. The synthesis of results presents four areas of AIEd applications in academic support services, and institutional and administrative services: 1. profiling and prediction, 2. assessment and evaluation, 3. adaptive systems and personalisation, and 4. intelligent tutoring systems. The conclusions reflect on the almost lack of critical reflection of challenges and risks of AIEd, the weak connection to theoretical pedagogical perspectives, and the need for further exploration of ethical and educational approaches in the application of AIEd in higher education.","author":[{"dropping-particle":"","family":"Zawacki-Richter","given":"Olaf","non-dropping-particle":"","parse-names":false,"suffix":""},{"dropping-particle":"","family":"Marín","given":"Victoria I.","non-dropping-particle":"","parse-names":false,"suffix":""},{"dropping-particle":"","family":"Bond","given":"Melissa","non-dropping-particle":"","parse-names":false,"suffix":""},{"dropping-particle":"","family":"Gouverneur","given":"Franziska","non-dropping-particle":"","parse-names":false,"suffix":""}],"container-title":"International Journal of Educational Technology in Higher Education 2019 16:1","id":"ITEM-1","issue":"1","issued":{"date-parts":[["2019","10","28"]]},"page":"1-27","publisher":"SpringerOpen","title":"Systematic review of research on artificial intelligence applications in higher education – where are the educators?","type":"article-journal","volume":"16"},"uris":["http://www.mendeley.com/documents/?uuid=65bbaf45-96de-390f-96be-ec060fc70bf5"]}],"mendeley":{"formattedCitation":"(Zawacki-Richter et al., 2019)","plainTextFormattedCitation":"(Zawacki-Richter et al., 2019)","previouslyFormattedCitation":"[8]"},"properties":{"noteIndex":0},"schema":"https://github.com/citation-style-language/schema/raw/master/csl-citation.json"}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(Zawacki-Richter et al., 2019)</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val="id-ID" w:eastAsia="zh-CN"/>
        </w:rPr>
        <w:t>. Pengantar ini menetapkan panggung untuk eksplorasi implikasi, tantangan, dan peluang multifaset yang dibawa AI ke dunia pendidikan khususnya proses belajar mengajar di kelas. Saat kami mempelajari lebih dalam bagian-bagian berikut, kami akan mengungkap bagaimana AI membentuk kembali desain kurikulum, praktik penilaian, strategi pedagogis, dan sifat dasar pengajaran dan pembelajaran. Perjalanan baru saja dimulai, dan kemungkinannya tidak terbatas.</w:t>
      </w:r>
    </w:p>
    <w:p w14:paraId="168AE5CE" w14:textId="6701391E" w:rsidR="008805F1" w:rsidRPr="008805F1" w:rsidRDefault="008805F1"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r w:rsidRPr="008805F1">
        <w:rPr>
          <w:rFonts w:ascii="Garamond" w:eastAsia="Times New Roman" w:hAnsi="Garamond" w:cs="Times New Roman"/>
          <w:color w:val="000000"/>
          <w:lang w:val="id-ID" w:eastAsia="zh-CN"/>
        </w:rPr>
        <w:tab/>
      </w:r>
      <w:r w:rsidR="00FF6B7E">
        <w:rPr>
          <w:rFonts w:ascii="Garamond" w:eastAsia="Times New Roman" w:hAnsi="Garamond" w:cs="Times New Roman"/>
          <w:color w:val="000000"/>
          <w:lang w:val="id-ID" w:eastAsia="zh-CN"/>
        </w:rPr>
        <w:tab/>
      </w:r>
      <w:r w:rsidRPr="008805F1">
        <w:rPr>
          <w:rFonts w:ascii="Garamond" w:eastAsia="Times New Roman" w:hAnsi="Garamond" w:cs="Times New Roman"/>
          <w:color w:val="000000"/>
          <w:lang w:val="id-ID" w:eastAsia="zh-CN"/>
        </w:rPr>
        <w:t>Hasil penelitian yang disajikan di sini menawarkan perspektif beragam tentang implikasi AI terhadap motivasi siswa. Dari data kuantitatif yang menunjukkan peningkatan motivasi intrinsik dan ekstrinsik hingga narasi kualitatif yang menjelaskan aspek pribadi dan langsung dari dampak AI, temuan kami menggarisbawahi potensi transformatif AI dalam proses belajar mengajar</w:t>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{"citationItems":[{"id":"ITEM-1","itemData":{"DOI":"10.1016/J.CAEAI.2023.100128","ISSN":"2666-920X","abstract":"The concept of Artificial Intelligence (AI), born as the possibility of simulating the human brain's learning capabilities, quickly evolves into one of the educational technology concepts that provide tools for students to better themselves in a plethora of areas. Unlike the previous educational technology iterations, which are limited to instrumental use for providing platforms to build learning applications, AI has proposed a unique education laboratory by enabling students to explore an instrument that functions as a dynamic system of computational concepts. However, the extent of the implications of AI adaptation in modern education is yet to be explored. Motivated to fill the literature gap and to consider the emerging significance of AI in education, this paper aims to analyze the possible intertwined relationship between students’ intrinsic motivation for learning Artificial Intelligence during the COVID-19 pandemic; the relationship between students’ computational thinking and understanding of AI concepts; and the underlying dynamic relation, if existing, between AI and computational thinking building efforts. To investigate the mentioned relationships, the present empirical study employs mediation analysis based upon collected 137 survey data from Universidad Politécnica de Madrid students in the Institute for Educational Science and the School of Naval Architecture and Marine Engineering during the first quarter of 2022. Findings show that intrinsic motivation mediates the relationship between perceived Artificial Intelligence learning and computational thinking. Also, the research indicates that intrinsic motivation has a significant relationship with computational thinking and perceived Artificial Intelligence learning.","author":[{"dropping-particle":"","family":"Martín-Núñez","given":"José Luis","non-dropping-particle":"","parse-names":false,"suffix":""},{"dropping-particle":"","family":"Ar","given":"Anil Yasin","non-dropping-particle":"","parse-names":false,"suffix":""},{"dropping-particle":"","family":"Fernández","given":"Rodrigo Pérez","non-dropping-particle":"","parse-names":false,"suffix":""},{"dropping-particle":"","family":"Abbas","given":"Asad","non-dropping-particle":"","parse-names":false,"suffix":""},{"dropping-particle":"","family":"Radovanović","given":"Danica","non-dropping-particle":"","parse-names":false,"suffix":""}],"container-title":"Computers and Education: Artificial Intelligence","id":"ITEM-1","issued":{"date-parts":[["2023","1","1"]]},"page":"100128","publisher":"Elsevier","title":"Does intrinsic motivation mediate perceived artificial intelligence (AI) learning and computational thinking of students during the COVID-19 pandemic?","type":"article-journal","volume":"4"},"uris":["http://www.mendeley.com/documents/?uuid=abc8cbc7-74d3-3f1c-b20a-094679199d0e"]}],"mendeley":{"formattedCitation":"(Martín-Núñez et al., 2023)","plainTextFormattedCitation":"(Martín-Núñez et al., 2023)","previouslyFormattedCitation":"[21]"},"properties":{"noteIndex":0},"schema":"https://github.com/citation-style-language/schema/raw/master/csl-citation.json"}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(Martín-Núñez et al., 2023)</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{"citationItems":[{"id":"ITEM-1","itemData":{"DOI":"10.1007/S11423-022-10142-8/METRICS","ISSN":"15566501","abstract":"Review strategies after learning new knowledge are essential for students to consolidate the key points, understand the subject content, analyze aspects of the learning topics, and summarize the knowledge content of learning while mastering new knowledge. However, educators have found that students generally have difficulties seeking help when they encounter learning problems. This could significantly affect their after-class review performances. To cope with this problem, an after-class review approach with an AI (Artificial Intelligence)-based chatbot is proposed in this study to provide students with immediate and quality feedback during the learning process. Moreover, a quasi-experiment was conducted to explore students’ learning motivation, attitude, and academic performance when using the AI-based chatbot. Participants were two classes of students from a university in Taiwan. One class with 18 students was the experimental group and the other with 20 students was the control group. The experimental group used the AI-based chatbot in the after-class review, while the control group used the conventional after-class review approach. Research results showed that the application of AI-based chatbots in the review process of public health courses could improve students’ academic performance, self-efficacy, learning attitude, and motivation. In other words, chatbots could help students become more active in the learning process. It is noted that after students asked questions, providing them with sufficient feedback during the review process could make them feel recognized and help to establish a relaxing and friendly interaction, thereby improving their academic performance.","author":[{"dropping-particle":"","family":"Lee","given":"Yen Fen","non-dropping-particle":"","parse-names":false,"suffix":""},{"dropping-particle":"","family":"Hwang","given":"Gwo Jen","non-dropping-particle":"","parse-names":false,"suffix":""},{"dropping-particle":"","family":"Chen","given":"Pei Ying","non-dropping-particle":"","parse-names":false,"suffix":""}],"container-title":"Educational Technology Research and Development","id":"ITEM-1","issue":"5","issued":{"date-parts":[["2022","10","1"]]},"page":"1843-1865","publisher":"Springer","title":"Impacts of an AI-based chabot on college students’ after-class review, academic performance, self-efficacy, learning attitude, and motivation","type":"article-journal","volume":"70"},"uris":["http://www.mendeley.com/documents/?uuid=e29f47ac-2dd4-301c-bc00-e0e2ce6d12fa"]}],"mendeley":{"formattedCitation":"(Lee et al., 2022)","plainTextFormattedCitation":"(Lee et al., 2022)","previouslyFormattedCitation":"[36]"},"properties":{"noteIndex":0},"schema":"https://github.com/citation-style-language/schema/raw/master/csl-citation.json"}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(Lee et al., 2022)</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{"citationItems":[{"id":"ITEM-1","itemData":{"DOI":"10.1186/S41239-019-0171-0","ISSN":"2365-9440","abstract":"According to various international reports, Artificial Intelligence in Education (AIEd) is one of the currently emerging fields in educational technology. Whilst it has been around for about 30</w:instrText>
      </w:r>
      <w:r>
        <w:rPr>
          <w:rFonts w:ascii="Times New Roman" w:eastAsia="Times New Roman" w:hAnsi="Times New Roman" w:cs="Times New Roman"/>
          <w:color w:val="000000"/>
          <w:lang w:eastAsia="zh-CN"/>
        </w:rPr>
        <w:instrText> </w:instrText>
      </w:r>
      <w:r>
        <w:rPr>
          <w:rFonts w:ascii="Garamond" w:eastAsia="Times New Roman" w:hAnsi="Garamond" w:cs="Times New Roman"/>
          <w:color w:val="000000"/>
          <w:lang w:eastAsia="zh-CN"/>
        </w:rPr>
        <w:instrText>years, it is still unclear for educators how to make pedagogical advantage of it on a broader scale, and how it can actually impact meaningfully on teaching and learning in higher education. This paper seeks to provide an overview of research on AI applications in higher education through a systematic review. Out of 2656 initially identified publications for the period between 2007 and 2018, 146 articles were included for final synthesis, according to explicit inclusion and exclusion criteria. The descriptive results show that most of the disciplines involved in AIEd papers come from Computer Science and STEM, and that quantitative methods were the most frequently used in empirical studies. The synthesis of results presents four areas of AIEd applications in academic support services, and institutional and administrative services: 1. profiling and prediction, 2. assessment and evaluation, 3. adaptive systems and personalisation, and 4. intelligent tutoring systems. The conclusions reflect on the almost lack of critical reflection of challenges and risks of AIEd, the weak connection to theoretical pedagogical perspectives, and the need for further exploration of ethical and educational approaches in the application of AIEd in higher education.","author":[{"dropping-particle":"","family":"Zawacki-Richter","given":"Olaf","non-dropping-particle":"","parse-names":false,"suffix":""},{"dropping-particle":"","family":"Marín","given":"Victoria I.","non-dropping-particle":"","parse-names":false,"suffix":""},{"dropping-particle":"","family":"Bond","given":"Melissa","non-dropping-particle":"","parse-names":false,"suffix":""},{"dropping-particle":"","family":"Gouverneur","given":"Franziska","non-dropping-particle":"","parse-names":false,"suffix":""}],"container-title":"International Journal of Educational Technology in Higher Education 2019 16:1","id":"ITEM-1","issue":"1","issued":{"date-parts":[["2019","10","28"]]},"page":"1-27","publisher":"SpringerOpen","title":"Systematic review of research on artificial intelligence applications in higher education – where are the educators?","type":"article-journal","volume":"16"},"uris":["http://www.mendeley.com/documents/?uuid=65bbaf45-96de-390f-96be-ec060fc70bf5"]}],"mendeley":{"formattedCitation":"(Zawacki-Richter et al., 2019)","plainTextFormattedCitation":"(Zawacki-Richter et al., 2019)","previouslyFormattedCitation":"[8]"},"properties":{"noteIndex":0},"schema":"https://github.com/citation-style-language/schema/raw/master/csl-citation.json"}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(Zawacki-Richter et al., 2019)</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val="id-ID" w:eastAsia="zh-CN"/>
        </w:rPr>
        <w:t>. Namun, sangat penting untuk menyadari bahwa integrasi AI yang efektif dalam proses pendidikan juga memerlukan penanganan pertimbangan etis, memastikan kesetaraan dan aksesibilitas, dan menjaga keseimbangan antara instruksi yang digerakkan oleh AI dan yang dipimpin manusia.</w:t>
      </w:r>
    </w:p>
    <w:p w14:paraId="699EC003" w14:textId="34F92C3C" w:rsidR="008805F1" w:rsidRDefault="008805F1"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r w:rsidRPr="008805F1">
        <w:rPr>
          <w:rFonts w:ascii="Garamond" w:eastAsia="Times New Roman" w:hAnsi="Garamond" w:cs="Times New Roman"/>
          <w:color w:val="000000"/>
          <w:lang w:val="id-ID" w:eastAsia="zh-CN"/>
        </w:rPr>
        <w:tab/>
      </w:r>
      <w:r w:rsidR="00FF6B7E">
        <w:rPr>
          <w:rFonts w:ascii="Garamond" w:eastAsia="Times New Roman" w:hAnsi="Garamond" w:cs="Times New Roman"/>
          <w:color w:val="000000"/>
          <w:lang w:val="id-ID" w:eastAsia="zh-CN"/>
        </w:rPr>
        <w:tab/>
      </w:r>
      <w:r w:rsidRPr="008805F1">
        <w:rPr>
          <w:rFonts w:ascii="Garamond" w:eastAsia="Times New Roman" w:hAnsi="Garamond" w:cs="Times New Roman"/>
          <w:color w:val="000000"/>
          <w:lang w:val="id-ID" w:eastAsia="zh-CN"/>
        </w:rPr>
        <w:t>Hasil penelitian ini berdiri sebagai sumber daya berharga bagi pendidik, pembuat kebijakan, dan pemangku kepentingan di bidang pendidikan, memberikan panduan dan wawasan tentang memanfaatkan potensi AI untuk mendorong pelajar yang bertahan lama dan termotivasi di dunia yang semakin didorong oleh teknologi. Ketika kita menyelidiki implikasi AI terhadap motivasi siswa, menjadi jelas bahwa perpaduan teknologi dan pedagogi ini memegang kunci untuk membuka cakrawala baru dalam proses pengajaran dan pembelajaran bidang pendidikan. Oleh karena itu, tanpa basa-basi lagi, mari kita melangkah ke hasil penelitian kita dan mendapatkan wawasan baru yang berharga di bidang ini. Pada tahap awal penyajian data, terdapat interpretasi data mengenai kecerdasan buatan dan motivasi Siswa, dimana kedua variabel ini disajikan dalam dua tabel terpisah, yaitu tabel 1 dan 2. Lebih jelasnya dapat dilihat di bawah ini:</w:t>
      </w:r>
    </w:p>
    <w:p w14:paraId="6759B127" w14:textId="77777777" w:rsidR="00FF6B7E" w:rsidRPr="008805F1" w:rsidRDefault="00FF6B7E"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p>
    <w:p w14:paraId="7949274A" w14:textId="53D706BE" w:rsidR="008805F1" w:rsidRPr="008805F1" w:rsidRDefault="008805F1" w:rsidP="008805F1">
      <w:pPr>
        <w:pBdr>
          <w:top w:val="nil"/>
          <w:left w:val="nil"/>
          <w:bottom w:val="nil"/>
          <w:right w:val="nil"/>
          <w:between w:val="nil"/>
        </w:pBdr>
        <w:tabs>
          <w:tab w:val="left" w:pos="288"/>
        </w:tabs>
        <w:suppressAutoHyphens/>
        <w:spacing w:after="0"/>
        <w:jc w:val="center"/>
        <w:rPr>
          <w:rFonts w:ascii="Garamond" w:eastAsia="Times New Roman" w:hAnsi="Garamond" w:cs="Times New Roman"/>
          <w:color w:val="000000"/>
          <w:lang w:eastAsia="zh-CN"/>
        </w:rPr>
      </w:pPr>
      <w:r w:rsidRPr="008805F1">
        <w:rPr>
          <w:rFonts w:ascii="Garamond" w:eastAsia="Times New Roman" w:hAnsi="Garamond" w:cs="Times New Roman"/>
          <w:color w:val="000000"/>
          <w:lang w:eastAsia="zh-CN"/>
        </w:rPr>
        <w:t>Tabel 1. Penggunaan AI Dalam Pembelajaran</w:t>
      </w:r>
    </w:p>
    <w:tbl>
      <w:tblPr>
        <w:tblStyle w:val="TableGrid1"/>
        <w:tblW w:w="514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1"/>
        <w:gridCol w:w="423"/>
        <w:gridCol w:w="563"/>
        <w:gridCol w:w="501"/>
        <w:gridCol w:w="693"/>
        <w:gridCol w:w="496"/>
        <w:gridCol w:w="645"/>
      </w:tblGrid>
      <w:tr w:rsidR="008805F1" w:rsidRPr="00336BA2" w14:paraId="45807785" w14:textId="77777777" w:rsidTr="00336BA2">
        <w:trPr>
          <w:cantSplit/>
          <w:trHeight w:val="383"/>
          <w:jc w:val="center"/>
        </w:trPr>
        <w:tc>
          <w:tcPr>
            <w:tcW w:w="1821" w:type="dxa"/>
            <w:tcBorders>
              <w:bottom w:val="single" w:sz="4" w:space="0" w:color="auto"/>
            </w:tcBorders>
          </w:tcPr>
          <w:p w14:paraId="067542C3" w14:textId="77777777" w:rsidR="008805F1" w:rsidRPr="00336BA2" w:rsidRDefault="008805F1" w:rsidP="008805F1">
            <w:pPr>
              <w:spacing w:before="120" w:after="120" w:line="276" w:lineRule="auto"/>
              <w:jc w:val="both"/>
              <w:rPr>
                <w:rFonts w:ascii="Garamond" w:hAnsi="Garamond"/>
                <w:bCs/>
                <w:sz w:val="22"/>
                <w:szCs w:val="24"/>
              </w:rPr>
            </w:pPr>
            <w:bookmarkStart w:id="1" w:name="_Hlk139610487"/>
            <w:r w:rsidRPr="00336BA2">
              <w:rPr>
                <w:rFonts w:ascii="Garamond" w:hAnsi="Garamond"/>
                <w:bCs/>
                <w:sz w:val="22"/>
                <w:szCs w:val="24"/>
              </w:rPr>
              <w:t>Category</w:t>
            </w:r>
          </w:p>
        </w:tc>
        <w:tc>
          <w:tcPr>
            <w:tcW w:w="0" w:type="auto"/>
            <w:tcBorders>
              <w:bottom w:val="single" w:sz="4" w:space="0" w:color="auto"/>
            </w:tcBorders>
          </w:tcPr>
          <w:p w14:paraId="5B8EF680" w14:textId="77777777" w:rsidR="008805F1" w:rsidRPr="00336BA2" w:rsidRDefault="008805F1" w:rsidP="008805F1">
            <w:pPr>
              <w:spacing w:before="120" w:after="120" w:line="276" w:lineRule="auto"/>
              <w:jc w:val="both"/>
              <w:rPr>
                <w:rFonts w:ascii="Garamond" w:hAnsi="Garamond"/>
                <w:bCs/>
                <w:sz w:val="22"/>
                <w:szCs w:val="24"/>
              </w:rPr>
            </w:pPr>
            <w:r w:rsidRPr="00336BA2">
              <w:rPr>
                <w:rFonts w:ascii="Garamond" w:hAnsi="Garamond"/>
                <w:bCs/>
                <w:sz w:val="22"/>
                <w:szCs w:val="24"/>
              </w:rPr>
              <w:t>N</w:t>
            </w:r>
          </w:p>
        </w:tc>
        <w:tc>
          <w:tcPr>
            <w:tcW w:w="0" w:type="auto"/>
            <w:tcBorders>
              <w:bottom w:val="single" w:sz="4" w:space="0" w:color="auto"/>
            </w:tcBorders>
          </w:tcPr>
          <w:p w14:paraId="1693672B" w14:textId="77777777" w:rsidR="008805F1" w:rsidRPr="00336BA2" w:rsidRDefault="008805F1" w:rsidP="008805F1">
            <w:pPr>
              <w:spacing w:before="120" w:after="120" w:line="276" w:lineRule="auto"/>
              <w:jc w:val="both"/>
              <w:rPr>
                <w:rFonts w:ascii="Garamond" w:hAnsi="Garamond"/>
                <w:bCs/>
                <w:sz w:val="22"/>
                <w:szCs w:val="24"/>
              </w:rPr>
            </w:pPr>
            <w:r w:rsidRPr="00336BA2">
              <w:rPr>
                <w:rFonts w:ascii="Garamond" w:hAnsi="Garamond"/>
                <w:bCs/>
                <w:sz w:val="22"/>
                <w:szCs w:val="24"/>
              </w:rPr>
              <w:t>Min</w:t>
            </w:r>
          </w:p>
        </w:tc>
        <w:tc>
          <w:tcPr>
            <w:tcW w:w="0" w:type="auto"/>
            <w:tcBorders>
              <w:bottom w:val="single" w:sz="4" w:space="0" w:color="auto"/>
            </w:tcBorders>
          </w:tcPr>
          <w:p w14:paraId="2FE987DB" w14:textId="77777777" w:rsidR="008805F1" w:rsidRPr="00336BA2" w:rsidRDefault="008805F1" w:rsidP="008805F1">
            <w:pPr>
              <w:spacing w:before="120" w:after="120" w:line="276" w:lineRule="auto"/>
              <w:jc w:val="both"/>
              <w:rPr>
                <w:rFonts w:ascii="Garamond" w:hAnsi="Garamond"/>
                <w:bCs/>
                <w:sz w:val="22"/>
                <w:szCs w:val="24"/>
              </w:rPr>
            </w:pPr>
            <w:r w:rsidRPr="00336BA2">
              <w:rPr>
                <w:rFonts w:ascii="Garamond" w:hAnsi="Garamond"/>
                <w:bCs/>
                <w:sz w:val="22"/>
                <w:szCs w:val="24"/>
              </w:rPr>
              <w:t>Mx</w:t>
            </w:r>
          </w:p>
        </w:tc>
        <w:tc>
          <w:tcPr>
            <w:tcW w:w="0" w:type="auto"/>
            <w:tcBorders>
              <w:bottom w:val="single" w:sz="4" w:space="0" w:color="auto"/>
            </w:tcBorders>
          </w:tcPr>
          <w:p w14:paraId="2D0DAEFB" w14:textId="77777777" w:rsidR="008805F1" w:rsidRPr="00336BA2" w:rsidRDefault="008805F1" w:rsidP="008805F1">
            <w:pPr>
              <w:spacing w:before="120" w:after="120" w:line="276" w:lineRule="auto"/>
              <w:jc w:val="both"/>
              <w:rPr>
                <w:rFonts w:ascii="Garamond" w:hAnsi="Garamond"/>
                <w:bCs/>
                <w:sz w:val="22"/>
                <w:szCs w:val="24"/>
              </w:rPr>
            </w:pPr>
            <w:r w:rsidRPr="00336BA2">
              <w:rPr>
                <w:rFonts w:ascii="Garamond" w:hAnsi="Garamond"/>
                <w:bCs/>
                <w:sz w:val="22"/>
                <w:szCs w:val="24"/>
              </w:rPr>
              <w:t>Mean</w:t>
            </w:r>
          </w:p>
        </w:tc>
        <w:tc>
          <w:tcPr>
            <w:tcW w:w="0" w:type="auto"/>
            <w:tcBorders>
              <w:bottom w:val="single" w:sz="4" w:space="0" w:color="auto"/>
            </w:tcBorders>
          </w:tcPr>
          <w:p w14:paraId="00FEA589" w14:textId="77777777" w:rsidR="008805F1" w:rsidRPr="00336BA2" w:rsidRDefault="008805F1" w:rsidP="008805F1">
            <w:pPr>
              <w:spacing w:before="120" w:after="120" w:line="276" w:lineRule="auto"/>
              <w:jc w:val="both"/>
              <w:rPr>
                <w:rFonts w:ascii="Garamond" w:hAnsi="Garamond"/>
                <w:bCs/>
                <w:sz w:val="22"/>
                <w:szCs w:val="24"/>
              </w:rPr>
            </w:pPr>
            <w:r w:rsidRPr="00336BA2">
              <w:rPr>
                <w:rFonts w:ascii="Garamond" w:hAnsi="Garamond"/>
                <w:bCs/>
                <w:sz w:val="22"/>
                <w:szCs w:val="24"/>
              </w:rPr>
              <w:t>Std</w:t>
            </w:r>
          </w:p>
        </w:tc>
        <w:tc>
          <w:tcPr>
            <w:tcW w:w="0" w:type="auto"/>
            <w:tcBorders>
              <w:bottom w:val="single" w:sz="4" w:space="0" w:color="auto"/>
            </w:tcBorders>
          </w:tcPr>
          <w:p w14:paraId="44211DC9" w14:textId="77777777" w:rsidR="008805F1" w:rsidRPr="00336BA2" w:rsidRDefault="008805F1" w:rsidP="008805F1">
            <w:pPr>
              <w:spacing w:before="120" w:after="120" w:line="276" w:lineRule="auto"/>
              <w:jc w:val="both"/>
              <w:rPr>
                <w:rFonts w:ascii="Garamond" w:hAnsi="Garamond"/>
                <w:bCs/>
                <w:sz w:val="22"/>
                <w:szCs w:val="24"/>
              </w:rPr>
            </w:pPr>
            <w:r w:rsidRPr="00336BA2">
              <w:rPr>
                <w:rFonts w:ascii="Garamond" w:hAnsi="Garamond"/>
                <w:bCs/>
                <w:sz w:val="22"/>
                <w:szCs w:val="24"/>
              </w:rPr>
              <w:t>Ket</w:t>
            </w:r>
          </w:p>
        </w:tc>
      </w:tr>
      <w:tr w:rsidR="008805F1" w:rsidRPr="00336BA2" w14:paraId="153488EC" w14:textId="77777777" w:rsidTr="00336BA2">
        <w:trPr>
          <w:cantSplit/>
          <w:trHeight w:val="493"/>
          <w:jc w:val="center"/>
        </w:trPr>
        <w:tc>
          <w:tcPr>
            <w:tcW w:w="1821" w:type="dxa"/>
            <w:tcBorders>
              <w:top w:val="single" w:sz="4" w:space="0" w:color="auto"/>
            </w:tcBorders>
            <w:vAlign w:val="center"/>
          </w:tcPr>
          <w:p w14:paraId="6C7603E7" w14:textId="77777777" w:rsidR="008805F1" w:rsidRPr="00336BA2" w:rsidRDefault="008805F1" w:rsidP="008805F1">
            <w:pPr>
              <w:spacing w:before="120" w:after="120" w:line="276" w:lineRule="auto"/>
              <w:jc w:val="center"/>
              <w:rPr>
                <w:rFonts w:ascii="Garamond" w:hAnsi="Garamond"/>
                <w:bCs/>
                <w:sz w:val="22"/>
                <w:szCs w:val="24"/>
              </w:rPr>
            </w:pPr>
            <w:r w:rsidRPr="00336BA2">
              <w:rPr>
                <w:rFonts w:ascii="Garamond" w:hAnsi="Garamond"/>
                <w:bCs/>
                <w:sz w:val="22"/>
                <w:szCs w:val="24"/>
              </w:rPr>
              <w:t>Implementasi AI</w:t>
            </w:r>
          </w:p>
        </w:tc>
        <w:tc>
          <w:tcPr>
            <w:tcW w:w="0" w:type="auto"/>
            <w:tcBorders>
              <w:top w:val="single" w:sz="4" w:space="0" w:color="auto"/>
            </w:tcBorders>
            <w:vAlign w:val="center"/>
          </w:tcPr>
          <w:p w14:paraId="0680A5EA" w14:textId="77777777" w:rsidR="008805F1" w:rsidRPr="00336BA2" w:rsidRDefault="008805F1" w:rsidP="008805F1">
            <w:pPr>
              <w:spacing w:before="120" w:after="120" w:line="276" w:lineRule="auto"/>
              <w:jc w:val="both"/>
              <w:rPr>
                <w:rFonts w:ascii="Garamond" w:hAnsi="Garamond"/>
                <w:bCs/>
                <w:sz w:val="22"/>
                <w:szCs w:val="24"/>
              </w:rPr>
            </w:pPr>
            <w:r w:rsidRPr="00336BA2">
              <w:rPr>
                <w:rFonts w:ascii="Garamond" w:hAnsi="Garamond"/>
                <w:bCs/>
                <w:sz w:val="22"/>
                <w:szCs w:val="24"/>
              </w:rPr>
              <w:t>20</w:t>
            </w:r>
          </w:p>
        </w:tc>
        <w:tc>
          <w:tcPr>
            <w:tcW w:w="0" w:type="auto"/>
            <w:tcBorders>
              <w:top w:val="single" w:sz="4" w:space="0" w:color="auto"/>
            </w:tcBorders>
            <w:vAlign w:val="center"/>
          </w:tcPr>
          <w:p w14:paraId="1069B231" w14:textId="77777777" w:rsidR="008805F1" w:rsidRPr="00336BA2" w:rsidRDefault="008805F1" w:rsidP="008805F1">
            <w:pPr>
              <w:spacing w:before="120" w:after="120" w:line="276" w:lineRule="auto"/>
              <w:jc w:val="both"/>
              <w:rPr>
                <w:rFonts w:ascii="Garamond" w:hAnsi="Garamond"/>
                <w:bCs/>
                <w:sz w:val="22"/>
                <w:szCs w:val="24"/>
              </w:rPr>
            </w:pPr>
            <w:r w:rsidRPr="00336BA2">
              <w:rPr>
                <w:rFonts w:ascii="Garamond" w:hAnsi="Garamond"/>
                <w:bCs/>
                <w:sz w:val="22"/>
                <w:szCs w:val="24"/>
              </w:rPr>
              <w:t>2.0</w:t>
            </w:r>
          </w:p>
        </w:tc>
        <w:tc>
          <w:tcPr>
            <w:tcW w:w="0" w:type="auto"/>
            <w:tcBorders>
              <w:top w:val="single" w:sz="4" w:space="0" w:color="auto"/>
            </w:tcBorders>
            <w:vAlign w:val="center"/>
          </w:tcPr>
          <w:p w14:paraId="41E5AD69" w14:textId="77777777" w:rsidR="008805F1" w:rsidRPr="00336BA2" w:rsidRDefault="008805F1" w:rsidP="008805F1">
            <w:pPr>
              <w:spacing w:before="120" w:after="120" w:line="276" w:lineRule="auto"/>
              <w:jc w:val="both"/>
              <w:rPr>
                <w:rFonts w:ascii="Garamond" w:hAnsi="Garamond"/>
                <w:bCs/>
                <w:sz w:val="22"/>
                <w:szCs w:val="24"/>
              </w:rPr>
            </w:pPr>
            <w:r w:rsidRPr="00336BA2">
              <w:rPr>
                <w:rFonts w:ascii="Garamond" w:hAnsi="Garamond"/>
                <w:bCs/>
                <w:sz w:val="22"/>
                <w:szCs w:val="24"/>
              </w:rPr>
              <w:t>7.5</w:t>
            </w:r>
          </w:p>
        </w:tc>
        <w:tc>
          <w:tcPr>
            <w:tcW w:w="0" w:type="auto"/>
            <w:tcBorders>
              <w:top w:val="single" w:sz="4" w:space="0" w:color="auto"/>
            </w:tcBorders>
            <w:vAlign w:val="center"/>
          </w:tcPr>
          <w:p w14:paraId="233A640C" w14:textId="77777777" w:rsidR="008805F1" w:rsidRPr="00336BA2" w:rsidRDefault="008805F1" w:rsidP="008805F1">
            <w:pPr>
              <w:spacing w:before="120" w:after="120" w:line="276" w:lineRule="auto"/>
              <w:jc w:val="both"/>
              <w:rPr>
                <w:rFonts w:ascii="Garamond" w:hAnsi="Garamond"/>
                <w:bCs/>
                <w:sz w:val="22"/>
                <w:szCs w:val="24"/>
              </w:rPr>
            </w:pPr>
            <w:r w:rsidRPr="00336BA2">
              <w:rPr>
                <w:rFonts w:ascii="Garamond" w:hAnsi="Garamond"/>
                <w:bCs/>
                <w:sz w:val="22"/>
                <w:szCs w:val="24"/>
              </w:rPr>
              <w:t>3.68</w:t>
            </w:r>
          </w:p>
        </w:tc>
        <w:tc>
          <w:tcPr>
            <w:tcW w:w="0" w:type="auto"/>
            <w:tcBorders>
              <w:top w:val="single" w:sz="4" w:space="0" w:color="auto"/>
            </w:tcBorders>
            <w:vAlign w:val="center"/>
          </w:tcPr>
          <w:p w14:paraId="121CDE1A" w14:textId="77777777" w:rsidR="008805F1" w:rsidRPr="00336BA2" w:rsidRDefault="008805F1" w:rsidP="008805F1">
            <w:pPr>
              <w:spacing w:before="120" w:after="120" w:line="276" w:lineRule="auto"/>
              <w:jc w:val="both"/>
              <w:rPr>
                <w:rFonts w:ascii="Garamond" w:hAnsi="Garamond"/>
                <w:bCs/>
                <w:sz w:val="22"/>
                <w:szCs w:val="24"/>
              </w:rPr>
            </w:pPr>
            <w:r w:rsidRPr="00336BA2">
              <w:rPr>
                <w:rFonts w:ascii="Garamond" w:hAnsi="Garamond"/>
                <w:bCs/>
                <w:sz w:val="22"/>
                <w:szCs w:val="24"/>
              </w:rPr>
              <w:t>.70</w:t>
            </w:r>
          </w:p>
        </w:tc>
        <w:tc>
          <w:tcPr>
            <w:tcW w:w="0" w:type="auto"/>
            <w:tcBorders>
              <w:top w:val="single" w:sz="4" w:space="0" w:color="auto"/>
            </w:tcBorders>
            <w:vAlign w:val="center"/>
          </w:tcPr>
          <w:p w14:paraId="788158B1" w14:textId="77777777" w:rsidR="008805F1" w:rsidRPr="00336BA2" w:rsidRDefault="008805F1" w:rsidP="008805F1">
            <w:pPr>
              <w:spacing w:before="120" w:after="120" w:line="276" w:lineRule="auto"/>
              <w:jc w:val="both"/>
              <w:rPr>
                <w:rFonts w:ascii="Garamond" w:hAnsi="Garamond"/>
                <w:bCs/>
                <w:sz w:val="22"/>
                <w:szCs w:val="24"/>
              </w:rPr>
            </w:pPr>
            <w:r w:rsidRPr="00336BA2">
              <w:rPr>
                <w:rFonts w:ascii="Garamond" w:hAnsi="Garamond"/>
                <w:bCs/>
                <w:sz w:val="22"/>
                <w:szCs w:val="24"/>
              </w:rPr>
              <w:t>High</w:t>
            </w:r>
          </w:p>
        </w:tc>
      </w:tr>
      <w:bookmarkEnd w:id="1"/>
    </w:tbl>
    <w:p w14:paraId="43BC5006" w14:textId="77777777" w:rsidR="00995832" w:rsidRPr="008805F1" w:rsidRDefault="00995832" w:rsidP="008805F1">
      <w:pPr>
        <w:spacing w:after="0"/>
        <w:ind w:firstLine="426"/>
        <w:rPr>
          <w:rFonts w:ascii="Garamond" w:hAnsi="Garamond" w:cs="Lucida Sans"/>
        </w:rPr>
      </w:pPr>
    </w:p>
    <w:p w14:paraId="18E360DA" w14:textId="5622C8B2" w:rsidR="008805F1" w:rsidRDefault="00FF6B7E"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r>
        <w:rPr>
          <w:rFonts w:ascii="Garamond" w:eastAsia="Times New Roman" w:hAnsi="Garamond" w:cs="Times New Roman"/>
          <w:color w:val="000000"/>
          <w:lang w:val="id-ID" w:eastAsia="zh-CN"/>
        </w:rPr>
        <w:tab/>
      </w:r>
      <w:r>
        <w:rPr>
          <w:rFonts w:ascii="Garamond" w:eastAsia="Times New Roman" w:hAnsi="Garamond" w:cs="Times New Roman"/>
          <w:color w:val="000000"/>
          <w:lang w:val="id-ID" w:eastAsia="zh-CN"/>
        </w:rPr>
        <w:tab/>
      </w:r>
      <w:r w:rsidR="008805F1" w:rsidRPr="008805F1">
        <w:rPr>
          <w:rFonts w:ascii="Garamond" w:eastAsia="Times New Roman" w:hAnsi="Garamond" w:cs="Times New Roman"/>
          <w:color w:val="000000"/>
          <w:lang w:val="id-ID" w:eastAsia="zh-CN"/>
        </w:rPr>
        <w:t xml:space="preserve">Berdasarkan hasil yang dikemukakan pada tabel 1 di atas, didapatkan bahwa tingkat </w:t>
      </w:r>
      <w:r w:rsidR="008805F1" w:rsidRPr="008805F1">
        <w:rPr>
          <w:rFonts w:ascii="Garamond" w:eastAsia="Times New Roman" w:hAnsi="Garamond" w:cs="Times New Roman"/>
          <w:color w:val="000000"/>
          <w:lang w:eastAsia="zh-CN"/>
        </w:rPr>
        <w:t>pennggunaan AI dalam proses</w:t>
      </w:r>
      <w:r w:rsidR="008805F1" w:rsidRPr="008805F1">
        <w:rPr>
          <w:rFonts w:ascii="Garamond" w:eastAsia="Times New Roman" w:hAnsi="Garamond" w:cs="Times New Roman"/>
          <w:color w:val="000000"/>
          <w:lang w:val="id-ID" w:eastAsia="zh-CN"/>
        </w:rPr>
        <w:t xml:space="preserve"> pembelajaran berada pada tingkat tinggi dengan mean = 3,6</w:t>
      </w:r>
      <w:r w:rsidR="008805F1" w:rsidRPr="008805F1">
        <w:rPr>
          <w:rFonts w:ascii="Garamond" w:eastAsia="Times New Roman" w:hAnsi="Garamond" w:cs="Times New Roman"/>
          <w:color w:val="000000"/>
          <w:lang w:eastAsia="zh-CN"/>
        </w:rPr>
        <w:t>8</w:t>
      </w:r>
      <w:r w:rsidR="008805F1" w:rsidRPr="008805F1">
        <w:rPr>
          <w:rFonts w:ascii="Garamond" w:eastAsia="Times New Roman" w:hAnsi="Garamond" w:cs="Times New Roman"/>
          <w:color w:val="000000"/>
          <w:lang w:val="id-ID" w:eastAsia="zh-CN"/>
        </w:rPr>
        <w:t xml:space="preserve">. Dengan demikian, dapat dikatakan bahwa umumnya semua siswa di sekolah menengah </w:t>
      </w:r>
      <w:r w:rsidR="008805F1" w:rsidRPr="008805F1">
        <w:rPr>
          <w:rFonts w:ascii="Garamond" w:eastAsia="Times New Roman" w:hAnsi="Garamond" w:cs="Times New Roman"/>
          <w:color w:val="000000"/>
          <w:lang w:eastAsia="zh-CN"/>
        </w:rPr>
        <w:t>kejuruan ini</w:t>
      </w:r>
      <w:r w:rsidR="008805F1" w:rsidRPr="008805F1">
        <w:rPr>
          <w:rFonts w:ascii="Garamond" w:eastAsia="Times New Roman" w:hAnsi="Garamond" w:cs="Times New Roman"/>
          <w:color w:val="000000"/>
          <w:lang w:val="id-ID" w:eastAsia="zh-CN"/>
        </w:rPr>
        <w:t xml:space="preserve"> (sampel) menggunakan </w:t>
      </w:r>
      <w:r w:rsidR="008805F1" w:rsidRPr="008805F1">
        <w:rPr>
          <w:rFonts w:ascii="Garamond" w:eastAsia="Times New Roman" w:hAnsi="Garamond" w:cs="Times New Roman"/>
          <w:color w:val="000000"/>
          <w:lang w:eastAsia="zh-CN"/>
        </w:rPr>
        <w:t xml:space="preserve">beberapa jenis </w:t>
      </w:r>
      <w:r w:rsidR="008805F1" w:rsidRPr="008805F1">
        <w:rPr>
          <w:rFonts w:ascii="Garamond" w:eastAsia="Times New Roman" w:hAnsi="Garamond" w:cs="Times New Roman"/>
          <w:color w:val="000000"/>
          <w:lang w:val="id-ID" w:eastAsia="zh-CN"/>
        </w:rPr>
        <w:t xml:space="preserve">kecerdasan buatan </w:t>
      </w:r>
      <w:r w:rsidR="008805F1" w:rsidRPr="008805F1">
        <w:rPr>
          <w:rFonts w:ascii="Garamond" w:eastAsia="Times New Roman" w:hAnsi="Garamond" w:cs="Times New Roman"/>
          <w:color w:val="000000"/>
          <w:lang w:eastAsia="zh-CN"/>
        </w:rPr>
        <w:t xml:space="preserve">(AI) </w:t>
      </w:r>
      <w:r w:rsidR="008805F1" w:rsidRPr="008805F1">
        <w:rPr>
          <w:rFonts w:ascii="Garamond" w:eastAsia="Times New Roman" w:hAnsi="Garamond" w:cs="Times New Roman"/>
          <w:color w:val="000000"/>
          <w:lang w:val="id-ID" w:eastAsia="zh-CN"/>
        </w:rPr>
        <w:t xml:space="preserve">baik itu Chat GPT, Ask AI, </w:t>
      </w:r>
      <w:r w:rsidR="008805F1" w:rsidRPr="008805F1">
        <w:rPr>
          <w:rFonts w:ascii="Garamond" w:eastAsia="Times New Roman" w:hAnsi="Garamond" w:cs="Times New Roman"/>
          <w:color w:val="000000"/>
          <w:lang w:eastAsia="zh-CN"/>
        </w:rPr>
        <w:t>chatbots</w:t>
      </w:r>
      <w:r w:rsidR="008805F1" w:rsidRPr="008805F1">
        <w:rPr>
          <w:rFonts w:ascii="Garamond" w:eastAsia="Times New Roman" w:hAnsi="Garamond" w:cs="Times New Roman"/>
          <w:color w:val="000000"/>
          <w:lang w:val="id-ID" w:eastAsia="zh-CN"/>
        </w:rPr>
        <w:t xml:space="preserve">, </w:t>
      </w:r>
      <w:r w:rsidR="008805F1" w:rsidRPr="008805F1">
        <w:rPr>
          <w:rFonts w:ascii="Garamond" w:eastAsia="Times New Roman" w:hAnsi="Garamond" w:cs="Times New Roman"/>
          <w:color w:val="000000"/>
          <w:lang w:eastAsia="zh-CN"/>
        </w:rPr>
        <w:t>videoeditor AI, ImageAI</w:t>
      </w:r>
      <w:r w:rsidR="008805F1" w:rsidRPr="008805F1">
        <w:rPr>
          <w:rFonts w:ascii="Garamond" w:eastAsia="Times New Roman" w:hAnsi="Garamond" w:cs="Times New Roman"/>
          <w:color w:val="000000"/>
          <w:lang w:val="id-ID" w:eastAsia="zh-CN"/>
        </w:rPr>
        <w:t>, dan teknologi lainnya dalam pembelajaran untuk membantu dalam memperoleh informasi dan pengalaman baru dalam belajar, memahami materi pelajaran yang diberikan oleh guru, dan membuat</w:t>
      </w:r>
      <w:r w:rsidR="008805F1" w:rsidRPr="008805F1">
        <w:rPr>
          <w:rFonts w:ascii="Garamond" w:eastAsia="Times New Roman" w:hAnsi="Garamond" w:cs="Times New Roman"/>
          <w:color w:val="000000"/>
          <w:lang w:eastAsia="zh-CN"/>
        </w:rPr>
        <w:t xml:space="preserve"> mereka</w:t>
      </w:r>
      <w:r w:rsidR="008805F1" w:rsidRPr="008805F1">
        <w:rPr>
          <w:rFonts w:ascii="Garamond" w:eastAsia="Times New Roman" w:hAnsi="Garamond" w:cs="Times New Roman"/>
          <w:color w:val="000000"/>
          <w:lang w:val="id-ID" w:eastAsia="zh-CN"/>
        </w:rPr>
        <w:t xml:space="preserve"> lebih mudah untuk </w:t>
      </w:r>
      <w:r w:rsidR="008805F1" w:rsidRPr="008805F1">
        <w:rPr>
          <w:rFonts w:ascii="Garamond" w:eastAsia="Times New Roman" w:hAnsi="Garamond" w:cs="Times New Roman"/>
          <w:color w:val="000000"/>
          <w:lang w:val="id-ID" w:eastAsia="zh-CN"/>
        </w:rPr>
        <w:lastRenderedPageBreak/>
        <w:t>mengingat pelajaran. Analisis selanjutnya adalah dengan melihat mean tingkat motivasi belajar, hal ini dapat dilihat pada tabel 2 di bawah ini:</w:t>
      </w:r>
    </w:p>
    <w:p w14:paraId="24958B22" w14:textId="77777777" w:rsidR="00FF6B7E" w:rsidRPr="008805F1" w:rsidRDefault="00FF6B7E"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p>
    <w:p w14:paraId="66075406" w14:textId="40DD26B2" w:rsidR="008805F1" w:rsidRPr="008805F1" w:rsidRDefault="008805F1" w:rsidP="008805F1">
      <w:pPr>
        <w:pBdr>
          <w:top w:val="nil"/>
          <w:left w:val="nil"/>
          <w:bottom w:val="nil"/>
          <w:right w:val="nil"/>
          <w:between w:val="nil"/>
        </w:pBdr>
        <w:tabs>
          <w:tab w:val="left" w:pos="288"/>
        </w:tabs>
        <w:suppressAutoHyphens/>
        <w:spacing w:after="0"/>
        <w:jc w:val="center"/>
        <w:rPr>
          <w:rFonts w:ascii="Garamond" w:eastAsia="Times New Roman" w:hAnsi="Garamond" w:cs="Times New Roman"/>
          <w:color w:val="000000"/>
          <w:lang w:eastAsia="zh-CN"/>
        </w:rPr>
      </w:pPr>
      <w:r w:rsidRPr="008805F1">
        <w:rPr>
          <w:rFonts w:ascii="Garamond" w:eastAsia="Times New Roman" w:hAnsi="Garamond" w:cs="Times New Roman"/>
          <w:color w:val="000000"/>
          <w:lang w:eastAsia="zh-CN"/>
        </w:rPr>
        <w:t>Tabel 2. Motivasi Siswa Dalam Pembelajaran</w:t>
      </w:r>
    </w:p>
    <w:tbl>
      <w:tblPr>
        <w:tblStyle w:val="TableGrid2"/>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8"/>
        <w:gridCol w:w="618"/>
        <w:gridCol w:w="618"/>
        <w:gridCol w:w="618"/>
        <w:gridCol w:w="693"/>
        <w:gridCol w:w="618"/>
        <w:gridCol w:w="1451"/>
      </w:tblGrid>
      <w:tr w:rsidR="008805F1" w:rsidRPr="00336BA2" w14:paraId="76246D44" w14:textId="77777777" w:rsidTr="00336BA2">
        <w:trPr>
          <w:cantSplit/>
          <w:trHeight w:val="70"/>
          <w:jc w:val="center"/>
        </w:trPr>
        <w:tc>
          <w:tcPr>
            <w:tcW w:w="1828" w:type="dxa"/>
            <w:tcBorders>
              <w:top w:val="single" w:sz="4" w:space="0" w:color="auto"/>
              <w:bottom w:val="single" w:sz="4" w:space="0" w:color="auto"/>
            </w:tcBorders>
          </w:tcPr>
          <w:p w14:paraId="422F594C" w14:textId="77777777" w:rsidR="008805F1" w:rsidRPr="00336BA2" w:rsidRDefault="008805F1" w:rsidP="008805F1">
            <w:pPr>
              <w:spacing w:after="120" w:line="276" w:lineRule="auto"/>
              <w:rPr>
                <w:rFonts w:ascii="Garamond" w:hAnsi="Garamond"/>
                <w:bCs/>
                <w:sz w:val="22"/>
                <w:szCs w:val="24"/>
              </w:rPr>
            </w:pPr>
            <w:r w:rsidRPr="00336BA2">
              <w:rPr>
                <w:rFonts w:ascii="Garamond" w:hAnsi="Garamond"/>
                <w:bCs/>
                <w:sz w:val="22"/>
                <w:szCs w:val="24"/>
              </w:rPr>
              <w:t>Category</w:t>
            </w:r>
          </w:p>
        </w:tc>
        <w:tc>
          <w:tcPr>
            <w:tcW w:w="618" w:type="dxa"/>
            <w:tcBorders>
              <w:top w:val="single" w:sz="4" w:space="0" w:color="auto"/>
              <w:bottom w:val="single" w:sz="4" w:space="0" w:color="auto"/>
            </w:tcBorders>
          </w:tcPr>
          <w:p w14:paraId="2D81A0C3" w14:textId="77777777" w:rsidR="008805F1" w:rsidRPr="00336BA2" w:rsidRDefault="008805F1" w:rsidP="008805F1">
            <w:pPr>
              <w:spacing w:after="120" w:line="276" w:lineRule="auto"/>
              <w:rPr>
                <w:rFonts w:ascii="Garamond" w:hAnsi="Garamond"/>
                <w:bCs/>
                <w:sz w:val="22"/>
                <w:szCs w:val="24"/>
              </w:rPr>
            </w:pPr>
            <w:r w:rsidRPr="00336BA2">
              <w:rPr>
                <w:rFonts w:ascii="Garamond" w:hAnsi="Garamond"/>
                <w:bCs/>
                <w:sz w:val="22"/>
                <w:szCs w:val="24"/>
              </w:rPr>
              <w:t>N</w:t>
            </w:r>
          </w:p>
        </w:tc>
        <w:tc>
          <w:tcPr>
            <w:tcW w:w="618" w:type="dxa"/>
            <w:tcBorders>
              <w:top w:val="single" w:sz="4" w:space="0" w:color="auto"/>
              <w:bottom w:val="single" w:sz="4" w:space="0" w:color="auto"/>
            </w:tcBorders>
          </w:tcPr>
          <w:p w14:paraId="61011EBF" w14:textId="77777777" w:rsidR="008805F1" w:rsidRPr="00336BA2" w:rsidRDefault="008805F1" w:rsidP="008805F1">
            <w:pPr>
              <w:spacing w:after="120" w:line="276" w:lineRule="auto"/>
              <w:rPr>
                <w:rFonts w:ascii="Garamond" w:hAnsi="Garamond"/>
                <w:bCs/>
                <w:sz w:val="22"/>
                <w:szCs w:val="24"/>
              </w:rPr>
            </w:pPr>
            <w:r w:rsidRPr="00336BA2">
              <w:rPr>
                <w:rFonts w:ascii="Garamond" w:hAnsi="Garamond"/>
                <w:bCs/>
                <w:sz w:val="22"/>
                <w:szCs w:val="24"/>
              </w:rPr>
              <w:t>Min</w:t>
            </w:r>
          </w:p>
        </w:tc>
        <w:tc>
          <w:tcPr>
            <w:tcW w:w="618" w:type="dxa"/>
            <w:tcBorders>
              <w:top w:val="single" w:sz="4" w:space="0" w:color="auto"/>
              <w:bottom w:val="single" w:sz="4" w:space="0" w:color="auto"/>
            </w:tcBorders>
          </w:tcPr>
          <w:p w14:paraId="0305714A" w14:textId="77777777" w:rsidR="008805F1" w:rsidRPr="00336BA2" w:rsidRDefault="008805F1" w:rsidP="008805F1">
            <w:pPr>
              <w:spacing w:after="120" w:line="276" w:lineRule="auto"/>
              <w:rPr>
                <w:rFonts w:ascii="Garamond" w:hAnsi="Garamond"/>
                <w:bCs/>
                <w:sz w:val="22"/>
                <w:szCs w:val="24"/>
              </w:rPr>
            </w:pPr>
            <w:r w:rsidRPr="00336BA2">
              <w:rPr>
                <w:rFonts w:ascii="Garamond" w:hAnsi="Garamond"/>
                <w:bCs/>
                <w:sz w:val="22"/>
                <w:szCs w:val="24"/>
              </w:rPr>
              <w:t>Mx</w:t>
            </w:r>
          </w:p>
        </w:tc>
        <w:tc>
          <w:tcPr>
            <w:tcW w:w="693" w:type="dxa"/>
            <w:tcBorders>
              <w:top w:val="single" w:sz="4" w:space="0" w:color="auto"/>
              <w:bottom w:val="single" w:sz="4" w:space="0" w:color="auto"/>
            </w:tcBorders>
          </w:tcPr>
          <w:p w14:paraId="02D7C694" w14:textId="77777777" w:rsidR="008805F1" w:rsidRPr="00336BA2" w:rsidRDefault="008805F1" w:rsidP="008805F1">
            <w:pPr>
              <w:spacing w:after="120" w:line="276" w:lineRule="auto"/>
              <w:rPr>
                <w:rFonts w:ascii="Garamond" w:hAnsi="Garamond"/>
                <w:bCs/>
                <w:sz w:val="22"/>
                <w:szCs w:val="24"/>
              </w:rPr>
            </w:pPr>
            <w:r w:rsidRPr="00336BA2">
              <w:rPr>
                <w:rFonts w:ascii="Garamond" w:hAnsi="Garamond"/>
                <w:bCs/>
                <w:sz w:val="22"/>
                <w:szCs w:val="24"/>
              </w:rPr>
              <w:t>Mean</w:t>
            </w:r>
          </w:p>
        </w:tc>
        <w:tc>
          <w:tcPr>
            <w:tcW w:w="618" w:type="dxa"/>
            <w:tcBorders>
              <w:top w:val="single" w:sz="4" w:space="0" w:color="auto"/>
              <w:bottom w:val="single" w:sz="4" w:space="0" w:color="auto"/>
            </w:tcBorders>
          </w:tcPr>
          <w:p w14:paraId="2AE9D311" w14:textId="77777777" w:rsidR="008805F1" w:rsidRPr="00336BA2" w:rsidRDefault="008805F1" w:rsidP="008805F1">
            <w:pPr>
              <w:spacing w:after="120" w:line="276" w:lineRule="auto"/>
              <w:rPr>
                <w:rFonts w:ascii="Garamond" w:hAnsi="Garamond"/>
                <w:bCs/>
                <w:sz w:val="22"/>
                <w:szCs w:val="24"/>
              </w:rPr>
            </w:pPr>
            <w:r w:rsidRPr="00336BA2">
              <w:rPr>
                <w:rFonts w:ascii="Garamond" w:hAnsi="Garamond"/>
                <w:bCs/>
                <w:sz w:val="22"/>
                <w:szCs w:val="24"/>
              </w:rPr>
              <w:t>Std</w:t>
            </w:r>
          </w:p>
        </w:tc>
        <w:tc>
          <w:tcPr>
            <w:tcW w:w="1451" w:type="dxa"/>
            <w:tcBorders>
              <w:top w:val="single" w:sz="4" w:space="0" w:color="auto"/>
              <w:bottom w:val="single" w:sz="4" w:space="0" w:color="auto"/>
            </w:tcBorders>
          </w:tcPr>
          <w:p w14:paraId="6752FF99" w14:textId="77777777" w:rsidR="008805F1" w:rsidRPr="00336BA2" w:rsidRDefault="008805F1" w:rsidP="008805F1">
            <w:pPr>
              <w:spacing w:after="120" w:line="276" w:lineRule="auto"/>
              <w:rPr>
                <w:rFonts w:ascii="Garamond" w:hAnsi="Garamond"/>
                <w:bCs/>
                <w:sz w:val="22"/>
                <w:szCs w:val="24"/>
              </w:rPr>
            </w:pPr>
            <w:r w:rsidRPr="00336BA2">
              <w:rPr>
                <w:rFonts w:ascii="Garamond" w:hAnsi="Garamond"/>
                <w:bCs/>
                <w:sz w:val="22"/>
                <w:szCs w:val="24"/>
              </w:rPr>
              <w:t>Ket</w:t>
            </w:r>
          </w:p>
        </w:tc>
      </w:tr>
      <w:tr w:rsidR="008805F1" w:rsidRPr="00336BA2" w14:paraId="6E7931A4" w14:textId="77777777" w:rsidTr="00336BA2">
        <w:trPr>
          <w:cantSplit/>
          <w:trHeight w:val="70"/>
          <w:jc w:val="center"/>
        </w:trPr>
        <w:tc>
          <w:tcPr>
            <w:tcW w:w="1828" w:type="dxa"/>
            <w:tcBorders>
              <w:top w:val="single" w:sz="4" w:space="0" w:color="auto"/>
              <w:bottom w:val="single" w:sz="4" w:space="0" w:color="auto"/>
            </w:tcBorders>
            <w:vAlign w:val="center"/>
          </w:tcPr>
          <w:p w14:paraId="6E80BDFD" w14:textId="77777777" w:rsidR="008805F1" w:rsidRPr="00336BA2" w:rsidRDefault="008805F1" w:rsidP="00336BA2">
            <w:pPr>
              <w:spacing w:after="120" w:line="276" w:lineRule="auto"/>
              <w:rPr>
                <w:rFonts w:ascii="Garamond" w:hAnsi="Garamond"/>
                <w:bCs/>
                <w:sz w:val="22"/>
                <w:szCs w:val="24"/>
              </w:rPr>
            </w:pPr>
            <w:r w:rsidRPr="00336BA2">
              <w:rPr>
                <w:rFonts w:ascii="Garamond" w:hAnsi="Garamond"/>
                <w:bCs/>
                <w:sz w:val="22"/>
                <w:szCs w:val="24"/>
              </w:rPr>
              <w:t>Motivasi sisswa</w:t>
            </w:r>
          </w:p>
        </w:tc>
        <w:tc>
          <w:tcPr>
            <w:tcW w:w="618" w:type="dxa"/>
            <w:tcBorders>
              <w:top w:val="single" w:sz="4" w:space="0" w:color="auto"/>
              <w:bottom w:val="single" w:sz="4" w:space="0" w:color="auto"/>
            </w:tcBorders>
            <w:vAlign w:val="center"/>
          </w:tcPr>
          <w:p w14:paraId="5C058F84" w14:textId="77777777" w:rsidR="008805F1" w:rsidRPr="00336BA2" w:rsidRDefault="008805F1" w:rsidP="008805F1">
            <w:pPr>
              <w:spacing w:after="120" w:line="276" w:lineRule="auto"/>
              <w:jc w:val="both"/>
              <w:rPr>
                <w:rFonts w:ascii="Garamond" w:hAnsi="Garamond"/>
                <w:bCs/>
                <w:sz w:val="22"/>
                <w:szCs w:val="24"/>
              </w:rPr>
            </w:pPr>
            <w:r w:rsidRPr="00336BA2">
              <w:rPr>
                <w:rFonts w:ascii="Garamond" w:hAnsi="Garamond"/>
                <w:bCs/>
                <w:sz w:val="22"/>
                <w:szCs w:val="24"/>
              </w:rPr>
              <w:t>20</w:t>
            </w:r>
          </w:p>
        </w:tc>
        <w:tc>
          <w:tcPr>
            <w:tcW w:w="618" w:type="dxa"/>
            <w:tcBorders>
              <w:top w:val="single" w:sz="4" w:space="0" w:color="auto"/>
              <w:bottom w:val="single" w:sz="4" w:space="0" w:color="auto"/>
            </w:tcBorders>
            <w:vAlign w:val="center"/>
          </w:tcPr>
          <w:p w14:paraId="5C5F977D" w14:textId="77777777" w:rsidR="008805F1" w:rsidRPr="00336BA2" w:rsidRDefault="008805F1" w:rsidP="008805F1">
            <w:pPr>
              <w:spacing w:after="120" w:line="276" w:lineRule="auto"/>
              <w:jc w:val="both"/>
              <w:rPr>
                <w:rFonts w:ascii="Garamond" w:hAnsi="Garamond"/>
                <w:bCs/>
                <w:sz w:val="22"/>
                <w:szCs w:val="24"/>
              </w:rPr>
            </w:pPr>
            <w:r w:rsidRPr="00336BA2">
              <w:rPr>
                <w:rFonts w:ascii="Garamond" w:hAnsi="Garamond"/>
                <w:bCs/>
                <w:sz w:val="22"/>
                <w:szCs w:val="24"/>
              </w:rPr>
              <w:t>2.0</w:t>
            </w:r>
          </w:p>
        </w:tc>
        <w:tc>
          <w:tcPr>
            <w:tcW w:w="618" w:type="dxa"/>
            <w:tcBorders>
              <w:top w:val="single" w:sz="4" w:space="0" w:color="auto"/>
              <w:bottom w:val="single" w:sz="4" w:space="0" w:color="auto"/>
            </w:tcBorders>
            <w:vAlign w:val="center"/>
          </w:tcPr>
          <w:p w14:paraId="5A437CC3" w14:textId="77777777" w:rsidR="008805F1" w:rsidRPr="00336BA2" w:rsidRDefault="008805F1" w:rsidP="008805F1">
            <w:pPr>
              <w:spacing w:after="120" w:line="276" w:lineRule="auto"/>
              <w:jc w:val="both"/>
              <w:rPr>
                <w:rFonts w:ascii="Garamond" w:hAnsi="Garamond"/>
                <w:bCs/>
                <w:sz w:val="22"/>
                <w:szCs w:val="24"/>
              </w:rPr>
            </w:pPr>
            <w:r w:rsidRPr="00336BA2">
              <w:rPr>
                <w:rFonts w:ascii="Garamond" w:hAnsi="Garamond"/>
                <w:bCs/>
                <w:sz w:val="22"/>
                <w:szCs w:val="24"/>
              </w:rPr>
              <w:t>8.0</w:t>
            </w:r>
          </w:p>
        </w:tc>
        <w:tc>
          <w:tcPr>
            <w:tcW w:w="693" w:type="dxa"/>
            <w:tcBorders>
              <w:top w:val="single" w:sz="4" w:space="0" w:color="auto"/>
              <w:bottom w:val="single" w:sz="4" w:space="0" w:color="auto"/>
            </w:tcBorders>
            <w:vAlign w:val="center"/>
          </w:tcPr>
          <w:p w14:paraId="6A162352" w14:textId="77777777" w:rsidR="008805F1" w:rsidRPr="00336BA2" w:rsidRDefault="008805F1" w:rsidP="008805F1">
            <w:pPr>
              <w:spacing w:after="120" w:line="276" w:lineRule="auto"/>
              <w:jc w:val="both"/>
              <w:rPr>
                <w:rFonts w:ascii="Garamond" w:hAnsi="Garamond"/>
                <w:bCs/>
                <w:sz w:val="22"/>
                <w:szCs w:val="24"/>
              </w:rPr>
            </w:pPr>
            <w:r w:rsidRPr="00336BA2">
              <w:rPr>
                <w:rFonts w:ascii="Garamond" w:hAnsi="Garamond"/>
                <w:bCs/>
                <w:sz w:val="22"/>
                <w:szCs w:val="24"/>
              </w:rPr>
              <w:t>4.65</w:t>
            </w:r>
          </w:p>
        </w:tc>
        <w:tc>
          <w:tcPr>
            <w:tcW w:w="618" w:type="dxa"/>
            <w:tcBorders>
              <w:top w:val="single" w:sz="4" w:space="0" w:color="auto"/>
              <w:bottom w:val="single" w:sz="4" w:space="0" w:color="auto"/>
            </w:tcBorders>
            <w:vAlign w:val="center"/>
          </w:tcPr>
          <w:p w14:paraId="6E5602DD" w14:textId="77777777" w:rsidR="008805F1" w:rsidRPr="00336BA2" w:rsidRDefault="008805F1" w:rsidP="008805F1">
            <w:pPr>
              <w:spacing w:after="120" w:line="276" w:lineRule="auto"/>
              <w:jc w:val="both"/>
              <w:rPr>
                <w:rFonts w:ascii="Garamond" w:hAnsi="Garamond"/>
                <w:bCs/>
                <w:sz w:val="22"/>
                <w:szCs w:val="24"/>
              </w:rPr>
            </w:pPr>
            <w:r w:rsidRPr="00336BA2">
              <w:rPr>
                <w:rFonts w:ascii="Garamond" w:hAnsi="Garamond"/>
                <w:bCs/>
                <w:sz w:val="22"/>
                <w:szCs w:val="24"/>
              </w:rPr>
              <w:t>.80</w:t>
            </w:r>
          </w:p>
        </w:tc>
        <w:tc>
          <w:tcPr>
            <w:tcW w:w="1451" w:type="dxa"/>
            <w:tcBorders>
              <w:top w:val="single" w:sz="4" w:space="0" w:color="auto"/>
              <w:bottom w:val="single" w:sz="4" w:space="0" w:color="auto"/>
            </w:tcBorders>
            <w:vAlign w:val="center"/>
          </w:tcPr>
          <w:p w14:paraId="74B8BEB6" w14:textId="77777777" w:rsidR="008805F1" w:rsidRPr="00336BA2" w:rsidRDefault="008805F1" w:rsidP="008805F1">
            <w:pPr>
              <w:spacing w:after="120" w:line="276" w:lineRule="auto"/>
              <w:jc w:val="both"/>
              <w:rPr>
                <w:rFonts w:ascii="Garamond" w:hAnsi="Garamond"/>
                <w:bCs/>
                <w:sz w:val="22"/>
                <w:szCs w:val="24"/>
              </w:rPr>
            </w:pPr>
            <w:r w:rsidRPr="00336BA2">
              <w:rPr>
                <w:rFonts w:ascii="Garamond" w:hAnsi="Garamond"/>
                <w:bCs/>
                <w:sz w:val="22"/>
                <w:szCs w:val="24"/>
              </w:rPr>
              <w:t>Very High</w:t>
            </w:r>
          </w:p>
        </w:tc>
      </w:tr>
    </w:tbl>
    <w:p w14:paraId="3A726594" w14:textId="77777777" w:rsidR="008805F1" w:rsidRPr="008805F1" w:rsidRDefault="008805F1"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p>
    <w:p w14:paraId="51AFA220" w14:textId="0F7A38C6" w:rsidR="008805F1" w:rsidRDefault="008805F1"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r w:rsidRPr="008805F1">
        <w:rPr>
          <w:rFonts w:ascii="Garamond" w:eastAsia="Times New Roman" w:hAnsi="Garamond" w:cs="Times New Roman"/>
          <w:color w:val="000000"/>
          <w:lang w:val="id-ID" w:eastAsia="zh-CN"/>
        </w:rPr>
        <w:tab/>
      </w:r>
      <w:r w:rsidR="00FF6B7E">
        <w:rPr>
          <w:rFonts w:ascii="Garamond" w:eastAsia="Times New Roman" w:hAnsi="Garamond" w:cs="Times New Roman"/>
          <w:color w:val="000000"/>
          <w:lang w:val="id-ID" w:eastAsia="zh-CN"/>
        </w:rPr>
        <w:tab/>
      </w:r>
      <w:r w:rsidRPr="008805F1">
        <w:rPr>
          <w:rFonts w:ascii="Garamond" w:eastAsia="Times New Roman" w:hAnsi="Garamond" w:cs="Times New Roman"/>
          <w:color w:val="000000"/>
          <w:lang w:val="id-ID" w:eastAsia="zh-CN"/>
        </w:rPr>
        <w:t>Mengacu pada hasil analisis pada tabel 2 di atas tentang motivasi siswa kelas X</w:t>
      </w:r>
      <w:r w:rsidRPr="008805F1">
        <w:rPr>
          <w:rFonts w:ascii="Garamond" w:eastAsia="Times New Roman" w:hAnsi="Garamond" w:cs="Times New Roman"/>
          <w:color w:val="000000"/>
          <w:lang w:eastAsia="zh-CN"/>
        </w:rPr>
        <w:t xml:space="preserve"> SK Negeri 2 Pariwisata Merauke</w:t>
      </w:r>
      <w:r w:rsidRPr="008805F1">
        <w:rPr>
          <w:rFonts w:ascii="Garamond" w:eastAsia="Times New Roman" w:hAnsi="Garamond" w:cs="Times New Roman"/>
          <w:color w:val="000000"/>
          <w:lang w:val="id-ID" w:eastAsia="zh-CN"/>
        </w:rPr>
        <w:t xml:space="preserve"> di </w:t>
      </w:r>
      <w:r w:rsidRPr="008805F1">
        <w:rPr>
          <w:rFonts w:ascii="Garamond" w:eastAsia="Times New Roman" w:hAnsi="Garamond" w:cs="Times New Roman"/>
          <w:color w:val="000000"/>
          <w:lang w:eastAsia="zh-CN"/>
        </w:rPr>
        <w:t>Papua</w:t>
      </w:r>
      <w:r w:rsidRPr="008805F1">
        <w:rPr>
          <w:rFonts w:ascii="Garamond" w:eastAsia="Times New Roman" w:hAnsi="Garamond" w:cs="Times New Roman"/>
          <w:color w:val="000000"/>
          <w:lang w:val="id-ID" w:eastAsia="zh-CN"/>
        </w:rPr>
        <w:t>, ditemukan bahwa motivasi belajar siswa berada pada tingkat sangat tinggi dengan mean = 4,6</w:t>
      </w:r>
      <w:r w:rsidRPr="008805F1">
        <w:rPr>
          <w:rFonts w:ascii="Garamond" w:eastAsia="Times New Roman" w:hAnsi="Garamond" w:cs="Times New Roman"/>
          <w:color w:val="000000"/>
          <w:lang w:eastAsia="zh-CN"/>
        </w:rPr>
        <w:t>5</w:t>
      </w:r>
      <w:r w:rsidRPr="008805F1">
        <w:rPr>
          <w:rFonts w:ascii="Garamond" w:eastAsia="Times New Roman" w:hAnsi="Garamond" w:cs="Times New Roman"/>
          <w:color w:val="000000"/>
          <w:lang w:val="id-ID" w:eastAsia="zh-CN"/>
        </w:rPr>
        <w:t>. Oleh karena itu, melalui hasil tersebut dapat dikatakan bahwa motivasi dapat membuat siswa rajin mengerjakan soal dan latihan yang guru berikan, menyediakan waktu khusus untuk belajar, menggunakan waktu belajar tepat waktu, siap menjawab pertanyaan yang guru berikan dan tertarik dengan materi pelajaran yang guru sampaikan. Terakhir, untuk analisis akhir dalam penelitian ini adalah uji korelasi antara Kecerdasan Buatan yang digunakan dengan motivasi belajar siswa, hal ini dapat dilihat pada tabel 3 di bawah ini:</w:t>
      </w:r>
    </w:p>
    <w:p w14:paraId="0C96CB06" w14:textId="77777777" w:rsidR="008805F1" w:rsidRPr="008805F1" w:rsidRDefault="008805F1"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p>
    <w:p w14:paraId="59EB8AC7" w14:textId="0B772B90" w:rsidR="008805F1" w:rsidRPr="008805F1" w:rsidRDefault="008805F1" w:rsidP="008805F1">
      <w:pPr>
        <w:pBdr>
          <w:top w:val="nil"/>
          <w:left w:val="nil"/>
          <w:bottom w:val="nil"/>
          <w:right w:val="nil"/>
          <w:between w:val="nil"/>
        </w:pBdr>
        <w:tabs>
          <w:tab w:val="left" w:pos="288"/>
        </w:tabs>
        <w:suppressAutoHyphens/>
        <w:spacing w:after="0"/>
        <w:jc w:val="center"/>
        <w:rPr>
          <w:rFonts w:ascii="Garamond" w:eastAsia="Times New Roman" w:hAnsi="Garamond" w:cs="Times New Roman"/>
          <w:color w:val="000000"/>
          <w:lang w:eastAsia="zh-CN"/>
        </w:rPr>
      </w:pPr>
      <w:r w:rsidRPr="008805F1">
        <w:rPr>
          <w:rFonts w:ascii="Garamond" w:eastAsia="Times New Roman" w:hAnsi="Garamond" w:cs="Times New Roman"/>
          <w:color w:val="000000"/>
          <w:lang w:eastAsia="zh-CN"/>
        </w:rPr>
        <w:t>Tabel 3. Korelasi A</w:t>
      </w:r>
      <w:r>
        <w:rPr>
          <w:rFonts w:ascii="Garamond" w:eastAsia="Times New Roman" w:hAnsi="Garamond" w:cs="Times New Roman"/>
          <w:color w:val="000000"/>
          <w:lang w:eastAsia="zh-CN"/>
        </w:rPr>
        <w:t>I</w:t>
      </w:r>
      <w:r w:rsidRPr="008805F1">
        <w:rPr>
          <w:rFonts w:ascii="Garamond" w:eastAsia="Times New Roman" w:hAnsi="Garamond" w:cs="Times New Roman"/>
          <w:color w:val="000000"/>
          <w:lang w:eastAsia="zh-CN"/>
        </w:rPr>
        <w:t xml:space="preserve"> </w:t>
      </w:r>
      <w:r>
        <w:rPr>
          <w:rFonts w:ascii="Garamond" w:eastAsia="Times New Roman" w:hAnsi="Garamond" w:cs="Times New Roman"/>
          <w:color w:val="000000"/>
          <w:lang w:eastAsia="zh-CN"/>
        </w:rPr>
        <w:t>d</w:t>
      </w:r>
      <w:r w:rsidRPr="008805F1">
        <w:rPr>
          <w:rFonts w:ascii="Garamond" w:eastAsia="Times New Roman" w:hAnsi="Garamond" w:cs="Times New Roman"/>
          <w:color w:val="000000"/>
          <w:lang w:eastAsia="zh-CN"/>
        </w:rPr>
        <w:t>an Motivasi Siswa</w:t>
      </w:r>
    </w:p>
    <w:tbl>
      <w:tblPr>
        <w:tblStyle w:val="TableGrid1"/>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9"/>
        <w:gridCol w:w="1752"/>
        <w:gridCol w:w="1329"/>
      </w:tblGrid>
      <w:tr w:rsidR="008805F1" w:rsidRPr="00336BA2" w14:paraId="051F4893" w14:textId="77777777" w:rsidTr="00336BA2">
        <w:trPr>
          <w:jc w:val="center"/>
        </w:trPr>
        <w:tc>
          <w:tcPr>
            <w:tcW w:w="2039" w:type="dxa"/>
            <w:tcBorders>
              <w:top w:val="single" w:sz="4" w:space="0" w:color="auto"/>
            </w:tcBorders>
          </w:tcPr>
          <w:p w14:paraId="3C37D660" w14:textId="77777777" w:rsidR="008805F1" w:rsidRPr="00336BA2" w:rsidRDefault="008805F1" w:rsidP="00336BA2">
            <w:pPr>
              <w:jc w:val="both"/>
              <w:rPr>
                <w:rFonts w:ascii="Garamond" w:hAnsi="Garamond"/>
                <w:iCs/>
                <w:sz w:val="22"/>
                <w:szCs w:val="24"/>
              </w:rPr>
            </w:pPr>
            <w:r w:rsidRPr="00336BA2">
              <w:rPr>
                <w:rFonts w:ascii="Garamond" w:hAnsi="Garamond"/>
                <w:iCs/>
                <w:sz w:val="22"/>
                <w:szCs w:val="24"/>
              </w:rPr>
              <w:t>Korelasi</w:t>
            </w:r>
          </w:p>
        </w:tc>
        <w:tc>
          <w:tcPr>
            <w:tcW w:w="1752" w:type="dxa"/>
            <w:tcBorders>
              <w:top w:val="single" w:sz="4" w:space="0" w:color="auto"/>
            </w:tcBorders>
          </w:tcPr>
          <w:p w14:paraId="4527F1CC" w14:textId="77777777" w:rsidR="008805F1" w:rsidRPr="00336BA2" w:rsidRDefault="008805F1" w:rsidP="00336BA2">
            <w:pPr>
              <w:jc w:val="center"/>
              <w:rPr>
                <w:rFonts w:ascii="Garamond" w:hAnsi="Garamond"/>
                <w:iCs/>
                <w:sz w:val="22"/>
                <w:szCs w:val="24"/>
              </w:rPr>
            </w:pPr>
            <w:r w:rsidRPr="00336BA2">
              <w:rPr>
                <w:rFonts w:ascii="Garamond" w:hAnsi="Garamond"/>
                <w:iCs/>
                <w:sz w:val="22"/>
                <w:szCs w:val="24"/>
              </w:rPr>
              <w:t>Implementasi AI</w:t>
            </w:r>
          </w:p>
        </w:tc>
        <w:tc>
          <w:tcPr>
            <w:tcW w:w="1329" w:type="dxa"/>
            <w:tcBorders>
              <w:top w:val="single" w:sz="4" w:space="0" w:color="auto"/>
            </w:tcBorders>
          </w:tcPr>
          <w:p w14:paraId="2873FF8B" w14:textId="77777777" w:rsidR="008805F1" w:rsidRPr="00336BA2" w:rsidRDefault="008805F1" w:rsidP="00336BA2">
            <w:pPr>
              <w:jc w:val="both"/>
              <w:rPr>
                <w:rFonts w:ascii="Garamond" w:hAnsi="Garamond"/>
                <w:iCs/>
                <w:sz w:val="22"/>
                <w:szCs w:val="24"/>
              </w:rPr>
            </w:pPr>
            <w:r w:rsidRPr="00336BA2">
              <w:rPr>
                <w:rFonts w:ascii="Garamond" w:hAnsi="Garamond"/>
                <w:iCs/>
                <w:sz w:val="22"/>
                <w:szCs w:val="24"/>
              </w:rPr>
              <w:t>Motivasi</w:t>
            </w:r>
          </w:p>
        </w:tc>
      </w:tr>
      <w:tr w:rsidR="008805F1" w:rsidRPr="00336BA2" w14:paraId="5778C252" w14:textId="77777777" w:rsidTr="00336BA2">
        <w:trPr>
          <w:trHeight w:val="70"/>
          <w:jc w:val="center"/>
        </w:trPr>
        <w:tc>
          <w:tcPr>
            <w:tcW w:w="2039" w:type="dxa"/>
            <w:tcBorders>
              <w:top w:val="single" w:sz="4" w:space="0" w:color="auto"/>
            </w:tcBorders>
          </w:tcPr>
          <w:p w14:paraId="1C2FD10C" w14:textId="77777777" w:rsidR="008805F1" w:rsidRPr="00336BA2" w:rsidRDefault="008805F1" w:rsidP="00336BA2">
            <w:pPr>
              <w:jc w:val="both"/>
              <w:rPr>
                <w:rFonts w:ascii="Garamond" w:hAnsi="Garamond"/>
                <w:bCs/>
                <w:iCs/>
                <w:sz w:val="22"/>
                <w:szCs w:val="24"/>
              </w:rPr>
            </w:pPr>
            <w:r w:rsidRPr="00336BA2">
              <w:rPr>
                <w:rFonts w:ascii="Garamond" w:hAnsi="Garamond"/>
                <w:bCs/>
                <w:iCs/>
                <w:sz w:val="22"/>
                <w:szCs w:val="24"/>
              </w:rPr>
              <w:t>Pearson Correlation</w:t>
            </w:r>
          </w:p>
          <w:p w14:paraId="71738230" w14:textId="77777777" w:rsidR="008805F1" w:rsidRPr="00336BA2" w:rsidRDefault="008805F1" w:rsidP="00336BA2">
            <w:pPr>
              <w:jc w:val="both"/>
              <w:rPr>
                <w:rFonts w:ascii="Garamond" w:hAnsi="Garamond"/>
                <w:bCs/>
                <w:iCs/>
                <w:sz w:val="22"/>
                <w:szCs w:val="24"/>
              </w:rPr>
            </w:pPr>
          </w:p>
          <w:p w14:paraId="77565A8E" w14:textId="77777777" w:rsidR="008805F1" w:rsidRPr="00336BA2" w:rsidRDefault="008805F1" w:rsidP="00336BA2">
            <w:pPr>
              <w:jc w:val="both"/>
              <w:rPr>
                <w:rFonts w:ascii="Garamond" w:hAnsi="Garamond"/>
                <w:bCs/>
                <w:iCs/>
                <w:sz w:val="22"/>
                <w:szCs w:val="24"/>
              </w:rPr>
            </w:pPr>
            <w:r w:rsidRPr="00336BA2">
              <w:rPr>
                <w:rFonts w:ascii="Garamond" w:hAnsi="Garamond"/>
                <w:bCs/>
                <w:iCs/>
                <w:sz w:val="22"/>
                <w:szCs w:val="24"/>
              </w:rPr>
              <w:t>Sig. (2-tailed)</w:t>
            </w:r>
          </w:p>
        </w:tc>
        <w:tc>
          <w:tcPr>
            <w:tcW w:w="1752" w:type="dxa"/>
            <w:tcBorders>
              <w:top w:val="single" w:sz="4" w:space="0" w:color="auto"/>
            </w:tcBorders>
          </w:tcPr>
          <w:p w14:paraId="46DCE1D0" w14:textId="77777777" w:rsidR="008805F1" w:rsidRPr="00336BA2" w:rsidRDefault="008805F1" w:rsidP="00336BA2">
            <w:pPr>
              <w:jc w:val="right"/>
              <w:rPr>
                <w:rFonts w:ascii="Garamond" w:hAnsi="Garamond"/>
                <w:bCs/>
                <w:iCs/>
                <w:sz w:val="22"/>
                <w:szCs w:val="24"/>
              </w:rPr>
            </w:pPr>
            <w:r w:rsidRPr="00336BA2">
              <w:rPr>
                <w:rFonts w:ascii="Garamond" w:hAnsi="Garamond"/>
                <w:bCs/>
                <w:iCs/>
                <w:sz w:val="22"/>
                <w:szCs w:val="24"/>
              </w:rPr>
              <w:t>1</w:t>
            </w:r>
          </w:p>
        </w:tc>
        <w:tc>
          <w:tcPr>
            <w:tcW w:w="1329" w:type="dxa"/>
            <w:tcBorders>
              <w:top w:val="single" w:sz="4" w:space="0" w:color="auto"/>
            </w:tcBorders>
          </w:tcPr>
          <w:p w14:paraId="22CFB584" w14:textId="77777777" w:rsidR="008805F1" w:rsidRPr="00336BA2" w:rsidRDefault="008805F1" w:rsidP="00336BA2">
            <w:pPr>
              <w:jc w:val="right"/>
              <w:rPr>
                <w:rFonts w:ascii="Garamond" w:hAnsi="Garamond"/>
                <w:bCs/>
                <w:iCs/>
                <w:sz w:val="22"/>
                <w:szCs w:val="24"/>
              </w:rPr>
            </w:pPr>
            <w:r w:rsidRPr="00336BA2">
              <w:rPr>
                <w:rFonts w:ascii="Garamond" w:hAnsi="Garamond"/>
                <w:bCs/>
                <w:iCs/>
                <w:sz w:val="22"/>
                <w:szCs w:val="24"/>
              </w:rPr>
              <w:t>.969</w:t>
            </w:r>
          </w:p>
          <w:p w14:paraId="15735156" w14:textId="77777777" w:rsidR="008805F1" w:rsidRPr="00336BA2" w:rsidRDefault="008805F1" w:rsidP="00336BA2">
            <w:pPr>
              <w:jc w:val="right"/>
              <w:rPr>
                <w:rFonts w:ascii="Garamond" w:hAnsi="Garamond"/>
                <w:bCs/>
                <w:iCs/>
                <w:sz w:val="22"/>
                <w:szCs w:val="24"/>
              </w:rPr>
            </w:pPr>
          </w:p>
          <w:p w14:paraId="0404158E" w14:textId="77777777" w:rsidR="008805F1" w:rsidRPr="00336BA2" w:rsidRDefault="008805F1" w:rsidP="00336BA2">
            <w:pPr>
              <w:jc w:val="right"/>
              <w:rPr>
                <w:rFonts w:ascii="Garamond" w:hAnsi="Garamond"/>
                <w:bCs/>
                <w:iCs/>
                <w:sz w:val="22"/>
                <w:szCs w:val="24"/>
              </w:rPr>
            </w:pPr>
          </w:p>
          <w:p w14:paraId="2BBB9CBD" w14:textId="77777777" w:rsidR="008805F1" w:rsidRPr="00336BA2" w:rsidRDefault="008805F1" w:rsidP="00336BA2">
            <w:pPr>
              <w:jc w:val="right"/>
              <w:rPr>
                <w:rFonts w:ascii="Garamond" w:hAnsi="Garamond"/>
                <w:bCs/>
                <w:iCs/>
                <w:sz w:val="22"/>
                <w:szCs w:val="24"/>
              </w:rPr>
            </w:pPr>
            <w:r w:rsidRPr="00336BA2">
              <w:rPr>
                <w:rFonts w:ascii="Garamond" w:hAnsi="Garamond"/>
                <w:bCs/>
                <w:iCs/>
                <w:sz w:val="22"/>
                <w:szCs w:val="24"/>
              </w:rPr>
              <w:t>.000</w:t>
            </w:r>
          </w:p>
        </w:tc>
      </w:tr>
      <w:tr w:rsidR="008805F1" w:rsidRPr="00336BA2" w14:paraId="4F1F89F9" w14:textId="77777777" w:rsidTr="00336BA2">
        <w:trPr>
          <w:jc w:val="center"/>
        </w:trPr>
        <w:tc>
          <w:tcPr>
            <w:tcW w:w="2039" w:type="dxa"/>
          </w:tcPr>
          <w:p w14:paraId="4EC39E74" w14:textId="77777777" w:rsidR="008805F1" w:rsidRPr="00336BA2" w:rsidRDefault="008805F1" w:rsidP="00336BA2">
            <w:pPr>
              <w:jc w:val="both"/>
              <w:rPr>
                <w:rFonts w:ascii="Garamond" w:hAnsi="Garamond"/>
                <w:bCs/>
                <w:iCs/>
                <w:sz w:val="22"/>
                <w:szCs w:val="24"/>
              </w:rPr>
            </w:pPr>
            <w:r w:rsidRPr="00336BA2">
              <w:rPr>
                <w:rFonts w:ascii="Garamond" w:hAnsi="Garamond"/>
                <w:bCs/>
                <w:iCs/>
                <w:sz w:val="22"/>
                <w:szCs w:val="24"/>
              </w:rPr>
              <w:t>N</w:t>
            </w:r>
          </w:p>
        </w:tc>
        <w:tc>
          <w:tcPr>
            <w:tcW w:w="1752" w:type="dxa"/>
          </w:tcPr>
          <w:p w14:paraId="41A299BD" w14:textId="77777777" w:rsidR="008805F1" w:rsidRPr="00336BA2" w:rsidRDefault="008805F1" w:rsidP="00336BA2">
            <w:pPr>
              <w:jc w:val="right"/>
              <w:rPr>
                <w:rFonts w:ascii="Garamond" w:hAnsi="Garamond"/>
                <w:bCs/>
                <w:iCs/>
                <w:sz w:val="22"/>
                <w:szCs w:val="24"/>
              </w:rPr>
            </w:pPr>
            <w:r w:rsidRPr="00336BA2">
              <w:rPr>
                <w:rFonts w:ascii="Garamond" w:hAnsi="Garamond"/>
                <w:bCs/>
                <w:iCs/>
                <w:sz w:val="22"/>
                <w:szCs w:val="24"/>
              </w:rPr>
              <w:t>20</w:t>
            </w:r>
          </w:p>
        </w:tc>
        <w:tc>
          <w:tcPr>
            <w:tcW w:w="1329" w:type="dxa"/>
          </w:tcPr>
          <w:p w14:paraId="15F0BA16" w14:textId="77777777" w:rsidR="008805F1" w:rsidRPr="00336BA2" w:rsidRDefault="008805F1" w:rsidP="00336BA2">
            <w:pPr>
              <w:jc w:val="right"/>
              <w:rPr>
                <w:rFonts w:ascii="Garamond" w:hAnsi="Garamond"/>
                <w:bCs/>
                <w:iCs/>
                <w:sz w:val="22"/>
                <w:szCs w:val="24"/>
              </w:rPr>
            </w:pPr>
            <w:r w:rsidRPr="00336BA2">
              <w:rPr>
                <w:rFonts w:ascii="Garamond" w:hAnsi="Garamond"/>
                <w:bCs/>
                <w:iCs/>
                <w:sz w:val="22"/>
                <w:szCs w:val="24"/>
              </w:rPr>
              <w:t>20</w:t>
            </w:r>
          </w:p>
        </w:tc>
      </w:tr>
      <w:tr w:rsidR="008805F1" w:rsidRPr="00336BA2" w14:paraId="342BC81F" w14:textId="77777777" w:rsidTr="00336BA2">
        <w:trPr>
          <w:jc w:val="center"/>
        </w:trPr>
        <w:tc>
          <w:tcPr>
            <w:tcW w:w="2039" w:type="dxa"/>
          </w:tcPr>
          <w:p w14:paraId="07FD0734" w14:textId="77777777" w:rsidR="008805F1" w:rsidRPr="00336BA2" w:rsidRDefault="008805F1" w:rsidP="00336BA2">
            <w:pPr>
              <w:jc w:val="both"/>
              <w:rPr>
                <w:rFonts w:ascii="Garamond" w:hAnsi="Garamond"/>
                <w:bCs/>
                <w:iCs/>
                <w:sz w:val="22"/>
                <w:szCs w:val="24"/>
              </w:rPr>
            </w:pPr>
            <w:r w:rsidRPr="00336BA2">
              <w:rPr>
                <w:rFonts w:ascii="Garamond" w:hAnsi="Garamond"/>
                <w:bCs/>
                <w:iCs/>
                <w:sz w:val="22"/>
                <w:szCs w:val="24"/>
              </w:rPr>
              <w:t>Pearson Correlation</w:t>
            </w:r>
          </w:p>
          <w:p w14:paraId="1109FF08" w14:textId="77777777" w:rsidR="008805F1" w:rsidRPr="00336BA2" w:rsidRDefault="008805F1" w:rsidP="00336BA2">
            <w:pPr>
              <w:jc w:val="both"/>
              <w:rPr>
                <w:rFonts w:ascii="Garamond" w:hAnsi="Garamond"/>
                <w:bCs/>
                <w:iCs/>
                <w:sz w:val="22"/>
                <w:szCs w:val="24"/>
              </w:rPr>
            </w:pPr>
          </w:p>
          <w:p w14:paraId="47897EAB" w14:textId="77777777" w:rsidR="008805F1" w:rsidRPr="00336BA2" w:rsidRDefault="008805F1" w:rsidP="00336BA2">
            <w:pPr>
              <w:jc w:val="both"/>
              <w:rPr>
                <w:rFonts w:ascii="Garamond" w:hAnsi="Garamond"/>
                <w:bCs/>
                <w:iCs/>
                <w:sz w:val="22"/>
                <w:szCs w:val="24"/>
              </w:rPr>
            </w:pPr>
            <w:r w:rsidRPr="00336BA2">
              <w:rPr>
                <w:rFonts w:ascii="Garamond" w:hAnsi="Garamond"/>
                <w:bCs/>
                <w:iCs/>
                <w:sz w:val="22"/>
                <w:szCs w:val="24"/>
              </w:rPr>
              <w:t>Sig. (2-tailed)</w:t>
            </w:r>
          </w:p>
        </w:tc>
        <w:tc>
          <w:tcPr>
            <w:tcW w:w="1752" w:type="dxa"/>
          </w:tcPr>
          <w:p w14:paraId="00CD38C5" w14:textId="77777777" w:rsidR="008805F1" w:rsidRPr="00336BA2" w:rsidRDefault="008805F1" w:rsidP="00336BA2">
            <w:pPr>
              <w:jc w:val="right"/>
              <w:rPr>
                <w:rFonts w:ascii="Garamond" w:hAnsi="Garamond"/>
                <w:bCs/>
                <w:iCs/>
                <w:sz w:val="22"/>
                <w:szCs w:val="24"/>
              </w:rPr>
            </w:pPr>
            <w:r w:rsidRPr="00336BA2">
              <w:rPr>
                <w:rFonts w:ascii="Garamond" w:hAnsi="Garamond"/>
                <w:bCs/>
                <w:iCs/>
                <w:sz w:val="22"/>
                <w:szCs w:val="24"/>
              </w:rPr>
              <w:t>.969</w:t>
            </w:r>
          </w:p>
          <w:p w14:paraId="5C079E74" w14:textId="77777777" w:rsidR="008805F1" w:rsidRPr="00336BA2" w:rsidRDefault="008805F1" w:rsidP="00336BA2">
            <w:pPr>
              <w:jc w:val="right"/>
              <w:rPr>
                <w:rFonts w:ascii="Garamond" w:hAnsi="Garamond"/>
                <w:bCs/>
                <w:iCs/>
                <w:sz w:val="22"/>
                <w:szCs w:val="24"/>
              </w:rPr>
            </w:pPr>
          </w:p>
          <w:p w14:paraId="2B56AD85" w14:textId="77777777" w:rsidR="008805F1" w:rsidRPr="00336BA2" w:rsidRDefault="008805F1" w:rsidP="00336BA2">
            <w:pPr>
              <w:jc w:val="right"/>
              <w:rPr>
                <w:rFonts w:ascii="Garamond" w:hAnsi="Garamond"/>
                <w:bCs/>
                <w:iCs/>
                <w:sz w:val="22"/>
                <w:szCs w:val="24"/>
              </w:rPr>
            </w:pPr>
          </w:p>
          <w:p w14:paraId="374BA367" w14:textId="77777777" w:rsidR="008805F1" w:rsidRPr="00336BA2" w:rsidRDefault="008805F1" w:rsidP="00336BA2">
            <w:pPr>
              <w:jc w:val="right"/>
              <w:rPr>
                <w:rFonts w:ascii="Garamond" w:hAnsi="Garamond"/>
                <w:bCs/>
                <w:iCs/>
                <w:sz w:val="22"/>
                <w:szCs w:val="24"/>
              </w:rPr>
            </w:pPr>
            <w:r w:rsidRPr="00336BA2">
              <w:rPr>
                <w:rFonts w:ascii="Garamond" w:hAnsi="Garamond"/>
                <w:bCs/>
                <w:iCs/>
                <w:sz w:val="22"/>
                <w:szCs w:val="24"/>
              </w:rPr>
              <w:t>.000</w:t>
            </w:r>
          </w:p>
        </w:tc>
        <w:tc>
          <w:tcPr>
            <w:tcW w:w="1329" w:type="dxa"/>
          </w:tcPr>
          <w:p w14:paraId="6BC88952" w14:textId="77777777" w:rsidR="008805F1" w:rsidRPr="00336BA2" w:rsidRDefault="008805F1" w:rsidP="00336BA2">
            <w:pPr>
              <w:jc w:val="right"/>
              <w:rPr>
                <w:rFonts w:ascii="Garamond" w:hAnsi="Garamond"/>
                <w:bCs/>
                <w:iCs/>
                <w:sz w:val="22"/>
                <w:szCs w:val="24"/>
              </w:rPr>
            </w:pPr>
            <w:r w:rsidRPr="00336BA2">
              <w:rPr>
                <w:rFonts w:ascii="Garamond" w:hAnsi="Garamond"/>
                <w:bCs/>
                <w:iCs/>
                <w:sz w:val="22"/>
                <w:szCs w:val="24"/>
              </w:rPr>
              <w:t>1</w:t>
            </w:r>
          </w:p>
          <w:p w14:paraId="07490601" w14:textId="77777777" w:rsidR="008805F1" w:rsidRPr="00336BA2" w:rsidRDefault="008805F1" w:rsidP="00336BA2">
            <w:pPr>
              <w:jc w:val="right"/>
              <w:rPr>
                <w:rFonts w:ascii="Garamond" w:hAnsi="Garamond"/>
                <w:bCs/>
                <w:iCs/>
                <w:sz w:val="22"/>
                <w:szCs w:val="24"/>
              </w:rPr>
            </w:pPr>
          </w:p>
          <w:p w14:paraId="1778078B" w14:textId="77777777" w:rsidR="008805F1" w:rsidRPr="00336BA2" w:rsidRDefault="008805F1" w:rsidP="00336BA2">
            <w:pPr>
              <w:jc w:val="right"/>
              <w:rPr>
                <w:rFonts w:ascii="Garamond" w:hAnsi="Garamond"/>
                <w:bCs/>
                <w:iCs/>
                <w:sz w:val="22"/>
                <w:szCs w:val="24"/>
              </w:rPr>
            </w:pPr>
          </w:p>
          <w:p w14:paraId="72C6154B" w14:textId="77777777" w:rsidR="008805F1" w:rsidRPr="00336BA2" w:rsidRDefault="008805F1" w:rsidP="00336BA2">
            <w:pPr>
              <w:jc w:val="right"/>
              <w:rPr>
                <w:rFonts w:ascii="Garamond" w:hAnsi="Garamond"/>
                <w:bCs/>
                <w:iCs/>
                <w:sz w:val="22"/>
                <w:szCs w:val="24"/>
              </w:rPr>
            </w:pPr>
          </w:p>
        </w:tc>
      </w:tr>
      <w:tr w:rsidR="008805F1" w:rsidRPr="00336BA2" w14:paraId="7A96CBD3" w14:textId="77777777" w:rsidTr="00336BA2">
        <w:trPr>
          <w:jc w:val="center"/>
        </w:trPr>
        <w:tc>
          <w:tcPr>
            <w:tcW w:w="2039" w:type="dxa"/>
            <w:tcBorders>
              <w:bottom w:val="single" w:sz="4" w:space="0" w:color="auto"/>
            </w:tcBorders>
          </w:tcPr>
          <w:p w14:paraId="0EA91A11" w14:textId="77777777" w:rsidR="008805F1" w:rsidRPr="00336BA2" w:rsidRDefault="008805F1" w:rsidP="00336BA2">
            <w:pPr>
              <w:jc w:val="both"/>
              <w:rPr>
                <w:rFonts w:ascii="Garamond" w:hAnsi="Garamond"/>
                <w:bCs/>
                <w:iCs/>
                <w:sz w:val="22"/>
                <w:szCs w:val="24"/>
              </w:rPr>
            </w:pPr>
            <w:r w:rsidRPr="00336BA2">
              <w:rPr>
                <w:rFonts w:ascii="Garamond" w:hAnsi="Garamond"/>
                <w:bCs/>
                <w:iCs/>
                <w:sz w:val="22"/>
                <w:szCs w:val="24"/>
              </w:rPr>
              <w:t>N</w:t>
            </w:r>
          </w:p>
        </w:tc>
        <w:tc>
          <w:tcPr>
            <w:tcW w:w="1752" w:type="dxa"/>
            <w:tcBorders>
              <w:bottom w:val="single" w:sz="4" w:space="0" w:color="auto"/>
            </w:tcBorders>
          </w:tcPr>
          <w:p w14:paraId="0859B8A0" w14:textId="77777777" w:rsidR="008805F1" w:rsidRPr="00336BA2" w:rsidRDefault="008805F1" w:rsidP="00336BA2">
            <w:pPr>
              <w:jc w:val="right"/>
              <w:rPr>
                <w:rFonts w:ascii="Garamond" w:hAnsi="Garamond"/>
                <w:bCs/>
                <w:iCs/>
                <w:sz w:val="22"/>
                <w:szCs w:val="24"/>
              </w:rPr>
            </w:pPr>
            <w:r w:rsidRPr="00336BA2">
              <w:rPr>
                <w:rFonts w:ascii="Garamond" w:hAnsi="Garamond"/>
                <w:bCs/>
                <w:iCs/>
                <w:sz w:val="22"/>
                <w:szCs w:val="24"/>
              </w:rPr>
              <w:t>20</w:t>
            </w:r>
          </w:p>
        </w:tc>
        <w:tc>
          <w:tcPr>
            <w:tcW w:w="1329" w:type="dxa"/>
            <w:tcBorders>
              <w:bottom w:val="single" w:sz="4" w:space="0" w:color="auto"/>
            </w:tcBorders>
          </w:tcPr>
          <w:p w14:paraId="750C794F" w14:textId="77777777" w:rsidR="008805F1" w:rsidRPr="00336BA2" w:rsidRDefault="008805F1" w:rsidP="00336BA2">
            <w:pPr>
              <w:jc w:val="right"/>
              <w:rPr>
                <w:rFonts w:ascii="Garamond" w:hAnsi="Garamond"/>
                <w:bCs/>
                <w:iCs/>
                <w:sz w:val="22"/>
                <w:szCs w:val="24"/>
              </w:rPr>
            </w:pPr>
            <w:r w:rsidRPr="00336BA2">
              <w:rPr>
                <w:rFonts w:ascii="Garamond" w:hAnsi="Garamond"/>
                <w:bCs/>
                <w:iCs/>
                <w:sz w:val="22"/>
                <w:szCs w:val="24"/>
              </w:rPr>
              <w:t>20</w:t>
            </w:r>
          </w:p>
        </w:tc>
      </w:tr>
    </w:tbl>
    <w:p w14:paraId="06164EDF" w14:textId="77777777" w:rsidR="008805F1" w:rsidRPr="008805F1" w:rsidRDefault="008805F1"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p>
    <w:p w14:paraId="20DC862C" w14:textId="6920B851" w:rsidR="008805F1" w:rsidRPr="008805F1" w:rsidRDefault="008805F1"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r w:rsidRPr="008805F1">
        <w:rPr>
          <w:rFonts w:ascii="Garamond" w:eastAsia="Times New Roman" w:hAnsi="Garamond" w:cs="Times New Roman"/>
          <w:color w:val="000000"/>
          <w:lang w:val="id-ID" w:eastAsia="zh-CN"/>
        </w:rPr>
        <w:tab/>
      </w:r>
      <w:r w:rsidR="00FF6B7E">
        <w:rPr>
          <w:rFonts w:ascii="Garamond" w:eastAsia="Times New Roman" w:hAnsi="Garamond" w:cs="Times New Roman"/>
          <w:color w:val="000000"/>
          <w:lang w:val="id-ID" w:eastAsia="zh-CN"/>
        </w:rPr>
        <w:tab/>
      </w:r>
      <w:r w:rsidRPr="008805F1">
        <w:rPr>
          <w:rFonts w:ascii="Garamond" w:eastAsia="Times New Roman" w:hAnsi="Garamond" w:cs="Times New Roman"/>
          <w:color w:val="000000"/>
          <w:lang w:val="id-ID" w:eastAsia="zh-CN"/>
        </w:rPr>
        <w:t>Melalui pemaparan tabel 3, dapat diketahui bahwa terdapat hubungan yang signifikan antara kecerdasan buatan (AI) dengan motivasi belajar siswa dengan p=,000. Ini menunjukkan bahwa nilai p lebih kecil dari nilai alfa 0,05. Terdapat hubungan yang signifikan antara kecerdasan buatan dengan motivasi belajar siswa dengan p =.000. Ini menunjukkan bahwa nilai p lebih kecil dari nilai alfa 0,05. Berdasarkan data yang telah dikumpulkan dan setelah diuji menggunakan program perhitungan statistik, ditemukan bahwa tingkat penggunaan kecerdasan buatan berada pada tingkat tinggi dengan skor rata-rata = 3,6</w:t>
      </w:r>
      <w:r w:rsidRPr="008805F1">
        <w:rPr>
          <w:rFonts w:ascii="Garamond" w:eastAsia="Times New Roman" w:hAnsi="Garamond" w:cs="Times New Roman"/>
          <w:color w:val="000000"/>
          <w:lang w:eastAsia="zh-CN"/>
        </w:rPr>
        <w:t>8</w:t>
      </w:r>
      <w:r w:rsidRPr="008805F1">
        <w:rPr>
          <w:rFonts w:ascii="Garamond" w:eastAsia="Times New Roman" w:hAnsi="Garamond" w:cs="Times New Roman"/>
          <w:color w:val="000000"/>
          <w:lang w:val="id-ID" w:eastAsia="zh-CN"/>
        </w:rPr>
        <w:t xml:space="preserve"> sedangkan motivasi belajar siswa berada pada tingkat yang sangat tinggi, yaitu meanscore = 4,6</w:t>
      </w:r>
      <w:r w:rsidRPr="008805F1">
        <w:rPr>
          <w:rFonts w:ascii="Garamond" w:eastAsia="Times New Roman" w:hAnsi="Garamond" w:cs="Times New Roman"/>
          <w:color w:val="000000"/>
          <w:lang w:eastAsia="zh-CN"/>
        </w:rPr>
        <w:t>5</w:t>
      </w:r>
      <w:r w:rsidRPr="008805F1">
        <w:rPr>
          <w:rFonts w:ascii="Garamond" w:eastAsia="Times New Roman" w:hAnsi="Garamond" w:cs="Times New Roman"/>
          <w:color w:val="000000"/>
          <w:lang w:val="id-ID" w:eastAsia="zh-CN"/>
        </w:rPr>
        <w:t xml:space="preserve">.  Hasil penelitian menunjukkan bahwa terdapat hubungan yang signifikan antara penerapan kecerdasan buatan </w:t>
      </w:r>
      <w:r w:rsidRPr="008805F1">
        <w:rPr>
          <w:rFonts w:ascii="Garamond" w:eastAsia="Times New Roman" w:hAnsi="Garamond" w:cs="Times New Roman"/>
          <w:color w:val="000000"/>
          <w:lang w:eastAsia="zh-CN"/>
        </w:rPr>
        <w:t>dalam proses pembelajaran dalam kelas khususnya di SMK Negeri 2 Pariwisata Merauke, Papuas</w:t>
      </w:r>
      <w:r w:rsidRPr="008805F1">
        <w:rPr>
          <w:rFonts w:ascii="Garamond" w:eastAsia="Times New Roman" w:hAnsi="Garamond" w:cs="Times New Roman"/>
          <w:color w:val="000000"/>
          <w:lang w:val="id-ID" w:eastAsia="zh-CN"/>
        </w:rPr>
        <w:t xml:space="preserve"> dengan motivasi belajar siswa. Kesimpulannya, kecerdasan buatan memiliki hubungan atau dampak yang kuat dengan motivasi belajar siswa. </w:t>
      </w:r>
    </w:p>
    <w:p w14:paraId="47141290" w14:textId="6C05F82D" w:rsidR="008805F1" w:rsidRPr="008805F1" w:rsidRDefault="008805F1"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r w:rsidRPr="008805F1">
        <w:rPr>
          <w:rFonts w:ascii="Garamond" w:eastAsia="Times New Roman" w:hAnsi="Garamond" w:cs="Times New Roman"/>
          <w:color w:val="000000"/>
          <w:lang w:val="id-ID" w:eastAsia="zh-CN"/>
        </w:rPr>
        <w:tab/>
      </w:r>
      <w:r w:rsidR="00FF6B7E">
        <w:rPr>
          <w:rFonts w:ascii="Garamond" w:eastAsia="Times New Roman" w:hAnsi="Garamond" w:cs="Times New Roman"/>
          <w:color w:val="000000"/>
          <w:lang w:val="id-ID" w:eastAsia="zh-CN"/>
        </w:rPr>
        <w:tab/>
      </w:r>
      <w:r w:rsidRPr="008805F1">
        <w:rPr>
          <w:rFonts w:ascii="Garamond" w:eastAsia="Times New Roman" w:hAnsi="Garamond" w:cs="Times New Roman"/>
          <w:color w:val="000000"/>
          <w:lang w:val="id-ID" w:eastAsia="zh-CN"/>
        </w:rPr>
        <w:t xml:space="preserve">Penerapan kecerdasan buatan (AI) dalam proses pembelajaran membawa sejumlah manfaat signifikan bagi siswa. Berikut adalah beberapa manfaat utama AI dalam konteks pengajaran dan pembelajaran sejalan dengan </w:t>
      </w:r>
      <w:r w:rsidRPr="008805F1">
        <w:rPr>
          <w:rFonts w:ascii="Garamond" w:eastAsia="Times New Roman" w:hAnsi="Garamond" w:cs="Times New Roman"/>
          <w:color w:val="000000"/>
          <w:lang w:val="id-ID" w:eastAsia="zh-CN"/>
        </w:rPr>
        <w:fldChar w:fldCharType="begin" w:fldLock="1"/>
      </w:r>
      <w:r>
        <w:rPr>
          <w:rFonts w:ascii="Garamond" w:eastAsia="Times New Roman" w:hAnsi="Garamond" w:cs="Times New Roman"/>
          <w:color w:val="000000"/>
          <w:lang w:val="id-ID" w:eastAsia="zh-CN"/>
        </w:rPr>
        <w:instrText>ADDIN CSL_CITATION {"citationItems":[{"id":"ITEM-1","itemData":{"DOI":"10.1016/J.CHB.2018.08.027","ISSN":"0747-5632","abstract":"This study employs the Computers are Social Actors (CASA) paradigm to extend the predictions of Social Identity Theory (SIT) to human-robot interaction (HRI) in the context of instructional communication. SIT posits that individuals gain a sense of personal worth from the groups with which they identify. Previous research has demonstrated that age group identification is meaningful to individuals’ self-concepts. Results demonstrated that higher age identified students rated the older A.I. voice instructor (representing an out-group member) higher for credibility and social presence and reported more motivation to learn than those students with low age identification. Implications are discussed for SIT and design features of computerized voices.","author":[{"dropping-particle":"","family":"Edwards","given":"Chad","non-dropping-particle":"","parse-names":false,"suffix":""},{"dropping-particle":"","family":"Edwards","given":"Autumn","non-dropping-particle":"","parse-names":false,"suffix":""},{"dropping-particle":"","family":"Stoll","given":"Brett","non-dropping-particle":"","parse-names":false,"suffix":""},{"dropping-particle":"","family":"Lin","given":"Xialing","non-dropping-particle":"","parse-names":false,"suffix":""},{"dropping-particle":"","family":"Massey","given":"Noelle","non-dropping-particle":"","parse-names":false,"suffix":""}],"container-title":"Computers in Human Behavior","id":"ITEM-1","issued":{"date-parts":[["2019","1","1"]]},"page":"357-362","publisher":"Pergamon","title":"Evaluations of an artificial intelligence instructor's voice: Social Identity Theory in human-robot interactions","type":"article-journal","volume":"90"},"uris":["http://www.mendeley.com/documents/?uuid=2620e38f-a5c5-39d4-9d86-03b295914685"]}],"mendeley":{"formattedCitation":"(Edwards et al., 2019)","plainTextFormattedCitation":"(Edwards et al., 2019)","previouslyFormattedCitation":"[18]"},"properties":{"noteIndex":0},"schema":"https://github.com/citation-style-language/schema/raw/master/csl-citation.json"}</w:instrText>
      </w:r>
      <w:r w:rsidRPr="008805F1">
        <w:rPr>
          <w:rFonts w:ascii="Garamond" w:eastAsia="Times New Roman" w:hAnsi="Garamond" w:cs="Times New Roman"/>
          <w:color w:val="000000"/>
          <w:lang w:val="id-ID" w:eastAsia="zh-CN"/>
        </w:rPr>
        <w:fldChar w:fldCharType="separate"/>
      </w:r>
      <w:r w:rsidRPr="008805F1">
        <w:rPr>
          <w:rFonts w:ascii="Garamond" w:eastAsia="Times New Roman" w:hAnsi="Garamond" w:cs="Times New Roman"/>
          <w:noProof/>
          <w:color w:val="000000"/>
          <w:lang w:val="id-ID" w:eastAsia="zh-CN"/>
        </w:rPr>
        <w:t>(Edwards et al., 2019)</w:t>
      </w:r>
      <w:r w:rsidRPr="008805F1">
        <w:rPr>
          <w:rFonts w:ascii="Garamond" w:eastAsia="Times New Roman" w:hAnsi="Garamond" w:cs="Times New Roman"/>
          <w:color w:val="000000"/>
          <w:lang w:val="id-ID" w:eastAsia="zh-CN"/>
        </w:rPr>
        <w:fldChar w:fldCharType="end"/>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{"citationItems":[{"id":"ITEM-1","itemData":{"DOI":"10.1007/S10639-022-10925-9/TABLES/4","ISSN":"15737608","abstract":"As online learning has been widely adopted in higher education in recent years, artificial intelligence (AI) has brought new ways for improving instruction and learning in online higher education. However, there is a lack of literature reviews that focuses on the functions, effects, and implications of applying AI in the online higher education context. In addition, what AI algorithms are commonly used and how they influence online higher education remain unclear. To fill these gaps, this systematic review provides an overview of empirical research on the applications of AI in online higher education. Specifically, this literature review examines the functions of AI in empirical researches, the algorithms used in empirical researches and the effects and implications generated by empirical research. According to the screening criteria, out of the 434 initially identified articles for the period between 2011 and 2020, 32 articles are included for the final synthesis. Results find that: (1) the functions of AI applications in online higher education include prediction of learning status, performance or satisfaction, resource recommendation, automatic assessment, and improvement of learning experience; (2) traditional AI technologies are commonly adopted while more advanced techniques (e.g., genetic algorithm, deep learning) are rarely used yet; and (3) effects generated by AI applications include a high quality of AI-enabled prediction with multiple input variables, a high quality of AI-enabled recommendations based on student characteristics, an improvement of students’ academic performance, and an improvement of online engagement and participation. This systematic review proposes the following theoretical, technological, and practical implications: (1) the integration of educational and learning theories into AI-enabled online learning; (2) the adoption of advanced AI technologies to collect and analyze real-time process data; and (3) the implementation of more empirical research to test actual effects of AI applications in online higher education.","author":[{"dropping-particle":"","family":"Ouyang","given":"Fan","non-dropping-particle":"","parse-names":false,"suffix":""},{"dropping-particle":"","family":"Zheng","given":"Luyi","non-dropping-particle":"","parse-names":false,"suffix":""},{"dropping-particle":"","family":"Jiao","given":"Pengcheng","non-dropping-particle":"","parse-names":false,"suffix":""}],"container-title":"Education and Information Technologies","id":"ITEM-1","issue":"6","issued":{"date-parts":[["2022","7","1"]]},"page":"7893-7925","publisher":"Springer","title":"Artificial intelligence in online higher education: A systematic review of empirical research from 2011 to 2020","type":"article-journal","volume":"27"},"uris":["http://www.mendeley.com/documents/?uuid=8a1c7ebf-ddec-396e-a57d-4507bebb2d8d"]}],"mendeley":{"formattedCitation":"(Ouyang et al., 2022)","plainTextFormattedCitation":"(Ouyang et al., 2022)","previouslyFormattedCitation":"[15]"},"properties":{"noteIndex":0},"schema":"https://github.com/citation-style-language/schema/raw/master/csl-citation.json"}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(Ouyang et al., 2022)</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{"citationItems":[{"id":"ITEM-1","itemData":{"DOI":"10.1007/S10639-020-10159-7/TABLES/6","ISSN":"15737608","abstract":"Emergence of the use and application of Artificial Intelligence (AI) in higher education in India has opened new possibilities and challenges. Use of AI in will bring in effective change of governance in the entire internal architecture of Indian Institutes of higher education. The prospect of use of AI includes investigation of educational implications as to how teachers would enrich them, how students would learn, and how accurate and prompt decisions can be taken in the institutes of higher education. This is important since the workload has been multiplied due to massification of higher education. Such being the scenario, help of AI is highly essential. The question of adoption of AI in higher education is an important issue in this perspective. The purpose of this study is to explore how the stakeholders would be able to adopt it. For this, we have taken help of many adoption theories and models including ‘Unified Theory of Acceptance and Use of Technology’ (UTAUT) model. We have developed hypotheses and a conceptual model and got it validated through survey with the help of feedbacks from useable 329 respondents. It has been found that the model can help the authorities to facilitate adoption of AI in higher education.","author":[{"dropping-particle":"","family":"Chatterjee","given":"Sheshadri","non-dropping-particle":"","parse-names":false,"suffix":""},{"dropping-particle":"","family":"Bhattacharjee","given":"Kalyan Kumar","non-dropping-particle":"","parse-names":false,"suffix":""}],"container-title":"Education and Information Technologies","id":"ITEM-1","issue":"5","issued":{"date-parts":[["2020","9","1"]]},"page":"3443-3463","publisher":"Springer","title":"Adoption of artificial intelligence in higher education: a quantitative analysis using structural equation modelling","type":"article-journal","volume":"25"},"uris":["http://www.mendeley.com/documents/?uuid=900b4006-8a79-3aae-bdbd-5238a0978704"]}],"mendeley":{"formattedCitation":"(Chatterjee &amp; Bhattacharjee, 2020)","plainTextFormattedCitation":"(Chatterjee &amp; Bhattacharjee, 2020)","previouslyFormattedCitation":"[9]"},"properties":{"noteIndex":0},"schema":"https://github.com/citation-style-language/schema/raw/master/csl-citation.json"}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(Chatterjee &amp; Bhattacharjee, 2020)</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val="id-ID" w:eastAsia="zh-CN"/>
        </w:rPr>
        <w:t xml:space="preserve"> Seperti: Personalisasi Pembelajaran: AI memungkinkan personalisasi pembelajaran yang lebih baik. Dengan analisis data yang canggih, AI dapat mengidentifikasi kekuatan dan kelemahan individu serta gaya belajar setiap siswa. Dengan informasi ini, AI dapat menyesuaikan materi pembelajaran, tingkat kesulitan, dan tempo sesuai dengan kebutuhan siswa, membantu mereka belajar lebih efektif. Selain itu, ada begitu banyak aplikasi AI untuk proses belajar mengajar menggunakan elemen gamifikasi, seperti poin, penghargaan, dan tantangan. Hal ini membuat pembelajaran lebih menyenangkan dan memotivasi siswa untuk terlibat aktif dalam pembelajaran. Kemampuan Belajar 24/7: AI tidak memiliki batasan waktu atau hari libur. Siswa dapat mengakses sumber </w:t>
      </w:r>
      <w:r w:rsidRPr="008805F1">
        <w:rPr>
          <w:rFonts w:ascii="Garamond" w:eastAsia="Times New Roman" w:hAnsi="Garamond" w:cs="Times New Roman"/>
          <w:color w:val="000000"/>
          <w:lang w:val="id-ID" w:eastAsia="zh-CN"/>
        </w:rPr>
        <w:lastRenderedPageBreak/>
        <w:t>belajar AI kapan saja dan di mana saja sesuai dengan jadwal mereka. Selain itu, Konsistensi Dalam Pengajaran: AI memberikan konsistensi dalam mengajar. Siswa mendapatkan materi pembelajaran yang seragam, umpan balik yang konsisten, dan pengalaman belajar serupa, tidak peduli kapan atau seberapa sering mereka mengaksesnya. Kemampuan untuk Menerapkan Pengetahuan: AI memungkinkan siswa untuk menerapkan pengetahuan mereka tentang pembelajaran dalam konteks kehidupan nyata. Misalnya, mereka dapat berlatih berbicara dengan chatbots, menerjemahkan teks, atau berinteraksi dengan AI dalam berbagai situasi sehari-hari. Mengatasi Keterbatasan Sumber Daya Manusia: Di banyak daerah, ketersediaan guru berpengalaman untuk mengajar mungkin terbatas. AI dapat membantu mengisi kesenjangan ini dengan menyediakan akses ke pembelajaran yang konsisten dan berkualitas.</w:t>
      </w:r>
    </w:p>
    <w:p w14:paraId="6818EA36" w14:textId="045D004E" w:rsidR="008805F1" w:rsidRPr="008805F1" w:rsidRDefault="008805F1"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r w:rsidRPr="008805F1">
        <w:rPr>
          <w:rFonts w:ascii="Garamond" w:eastAsia="Times New Roman" w:hAnsi="Garamond" w:cs="Times New Roman"/>
          <w:color w:val="000000"/>
          <w:lang w:val="id-ID" w:eastAsia="zh-CN"/>
        </w:rPr>
        <w:tab/>
      </w:r>
      <w:r w:rsidR="00FF6B7E">
        <w:rPr>
          <w:rFonts w:ascii="Garamond" w:eastAsia="Times New Roman" w:hAnsi="Garamond" w:cs="Times New Roman"/>
          <w:color w:val="000000"/>
          <w:lang w:val="id-ID" w:eastAsia="zh-CN"/>
        </w:rPr>
        <w:tab/>
      </w:r>
      <w:r w:rsidRPr="008805F1">
        <w:rPr>
          <w:rFonts w:ascii="Garamond" w:eastAsia="Times New Roman" w:hAnsi="Garamond" w:cs="Times New Roman"/>
          <w:color w:val="000000"/>
          <w:lang w:val="id-ID" w:eastAsia="zh-CN"/>
        </w:rPr>
        <w:t>Penggunaan kecerdasan buatan yang bervariasi, menarik, dan relevan dapat meningkatkan motivasi siswa, mendorong keterlibatan aktif dalam pembelajaran, dan menghasilkan hasil belajar yang lebih baik. Oleh karena itu, penting bagi pendidik dan pengembang kurikulum untuk mempertimbangkan penggunaan kecerdasan buatan yang tepat dalam merancang pengalaman belajar yang memotivasi dan efektif bagi siswa</w:t>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{"citationItems":[{"id":"ITEM-1","itemData":{"author":[{"dropping-particle":"","family":"Pelenkahu","given":"Noldy","non-dropping-particle":"","parse-names":false,"suffix":""},{"dropping-particle":"","family":"Ali","given":"Muhammad Ilham","non-dropping-particle":"","parse-names":false,"suffix":""},{"dropping-particle":"","family":"Tatipang","given":"Devilito Prasetyo","non-dropping-particle":"","parse-names":false,"suffix":""}],"id":"ITEM-1","issued":{"date-parts":[["2023"]]},"publisher":"Penerbit Lakeisha","title":"Curriculum Development","type":"book"},"uris":["http://www.mendeley.com/documents/?uuid=d4ca6bfb-9d28-454f-8915-934647df15d0"]}],"mendeley":{"formattedCitation":"(Pelenkahu et al., 2023)","plainTextFormattedCitation":"(Pelenkahu et al., 2023)","previouslyFormattedCitation":"[1]"},"properties":{"noteIndex":0},"schema":"https://github.com/citation-style-language/schema/raw/master/csl-citation.json"}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(Pelenkahu et al., 2023)</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sidR="00FF6B7E">
        <w:rPr>
          <w:rFonts w:ascii="Garamond" w:eastAsia="Times New Roman" w:hAnsi="Garamond" w:cs="Times New Roman"/>
          <w:color w:val="000000"/>
          <w:lang w:eastAsia="zh-CN"/>
        </w:rPr>
        <w:instrText>ADDIN CSL_CITATION {"citationItems":[{"id":"ITEM-1","itemData":{"DOI":"10.33487/EDUMASPUL.V7I1.6479","ISSN":"2580-0469","abstract":"Learning in the 21st century integrates various technological devices in carrying out a whole series of interaction processes between students and teachers with learning resources in a learning environment. Pre-service English teachers in 21st century must have knowledge as well as skills in using various technologies, both traditional and modern to facilitate learning and improve learning outcomes. This article aims to examine, explain and review the development of technological pedagogical and content knowledge (TPACK) for Pre-service English teachers in 21st century, in order to obtain an overview of the opportunities and challenges in implementing TPACK itself in the 21st Century Learning. This article using a systematic review method of books, journal articles, and other documents related to the topic of discussion. All sources were selected based on the publication year that was set, namely 2017-2022 so that accurate and up-to-date data could be obtained. The results of the study found that, TPACK is a new type of knowledge that must be mastered by pre-service English teachers to be able to integrate technology well in learning. TPACK can be used as a framework for designing teacher education curricula that are more in line with the era and demands of 21st century learning","author":[{"dropping-particle":"","family":"Liando","given":"Nihta Vera Frelly","non-dropping-particle":"","parse-names":false,"suffix":""},{"dropping-particle":"","family":"Tatipang","given":"Devilito Prasetyo","non-dropping-particle":"","parse-names":false,"suffix":""},{"dropping-particle":"","family":"Wuntu","given":"Ceisy Nita","non-dropping-particle":"","parse-names":false,"suffix":""}],"container-title":"Edumaspul: Jurnal Pendidikan","id":"ITEM-1","issue":"1","issued":{"date-parts":[["2023","3","1"]]},"page":"1799-1815","title":"TPACK Framework Towards 21st Century’s Pre-Service English Teachers: Opportunities and Challenges in Application","type":"article-journal","volume":"7"},"uris":["http://www.mendeley.com/documents/?uuid=f414bcba-ae78-3eba-95b3-ef4dedca439d"]}],"mendeley":{"formattedCitation":"(Liando, Tatipang, et al., 2023)","manualFormatting":"(Liando et al., 2023)","plainTextFormattedCitation":"(Liando, Tatipang, et al., 2023)","previouslyFormattedCitation":"[17]"},"properties":{"noteIndex":0},"schema":"https://github.com/citation-style-language/schema/raw/master/csl-citation.json"}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(Liando</w:t>
      </w:r>
      <w:r w:rsidR="00FF6B7E">
        <w:rPr>
          <w:rFonts w:ascii="Garamond" w:eastAsia="Times New Roman" w:hAnsi="Garamond" w:cs="Times New Roman"/>
          <w:noProof/>
          <w:color w:val="000000"/>
          <w:lang w:eastAsia="zh-CN"/>
        </w:rPr>
        <w:t xml:space="preserve"> </w:t>
      </w:r>
      <w:r w:rsidRPr="008805F1">
        <w:rPr>
          <w:rFonts w:ascii="Garamond" w:eastAsia="Times New Roman" w:hAnsi="Garamond" w:cs="Times New Roman"/>
          <w:noProof/>
          <w:color w:val="000000"/>
          <w:lang w:eastAsia="zh-CN"/>
        </w:rPr>
        <w:t>et al., 2023)</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{"citationItems":[{"id":"ITEM-1","itemData":{"DOI":"10.3390/SU12145568","ISSN":"2071-1050","abstract":"The teaching of artificial intelligence (AI) topics in school curricula is an important global strategic initiative in educating the next generation. As AI technologies are new to K-12 schools, there is a lack of studies that inform schools’ teachers about AI curriculum design. How to prepare and engage teachers, and which approaches are suitable for planning the curriculum for sustainable development, are unclear. Therefore, this case study aimed to explore the views of teachers with and without AI teaching experience on key considerations for the preparation, implementation and continuous refinement of a formal AI curriculum for K-12 schools. It drew on the self-determination theory (SDT) and four basic curriculum planning approaches—content, product, process and praxis—as theoretical frameworks to explain the research problems and findings. We conducted semi-structured interviews with 24 teachers—twelve with and twelve without experience in teaching AI—and used thematic analysis to analyze the interview data. Our findings revealed that genuine curriculum creation should encompass all four forms of curriculum design approach that are coordinated by teachers’ self-determination to be orchestrators of student learning experiences. This study also proposed a curriculum development cycle for teachers and curriculum officers.","author":[{"dropping-particle":"","family":"Chiu","given":"Thomas K.F.","non-dropping-particle":"","parse-names":false,"suffix":""},{"dropping-particle":"","family":"Chai","given":"Ching Sing","non-dropping-particle":"","parse-names":false,"suffix":""}],"container-title":"Sustainability 2020, Vol. 12, Page 5568","id":"ITEM-1","issue":"14","issued":{"date-parts":[["2020","7","10"]]},"page":"5568","publisher":"Multidisciplinary Digital Publishing Institute","title":"Sustainable Curriculum Planning for Artificial Intelligence Education: A Self-Determination Theory Perspective","type":"article-journal","volume":"12"},"uris":["http://www.mendeley.com/documents/?uuid=6ea4361a-2d64-3a27-a499-cb5e55d2478d"]}],"mendeley":{"formattedCitation":"(Chiu &amp; Chai, 2020)","plainTextFormattedCitation":"(Chiu &amp; Chai, 2020)","previouslyFormattedCitation":"[35]"},"properties":{"noteIndex":0},"schema":"https://github.com/citation-style-language/schema/raw/master/csl-citation.json"}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(Chiu &amp; Chai, 2020)</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val="id-ID" w:eastAsia="zh-CN"/>
        </w:rPr>
        <w:t>. Namun, penting untuk diingat bahwa sementara AI memiliki banyak manfaat dalam proses pembelajaran, itu harus digunakan sebagai alat untuk pendidikan tradisional yang dipimpin guru. Kombinasi kecerdasan buatan dan interaksi manusia dapat memberikan pengalaman belajar yang paling efektif dan menyeluruh bagi siswa. Selain itu, peran guru dalam mengawasi penggunaan AI dalam proses pembelajaran juga menjadi faktor terpenting. Guru yang mampu menggunakan/melaksanakan/mengawasi penggunaan AI secara efektif dapat meningkatkan daya tarik dan relevansi pembelajaran, serta memberikan umpan balik positif kepada siswa. Hal ini dapat meningkatkan kepuasan belajar siswa dan mendorong motivasi mereka untuk terus belajar dan mencapai hasil yang lebih baik.</w:t>
      </w:r>
    </w:p>
    <w:p w14:paraId="1EDE19E6" w14:textId="7EE1726B" w:rsidR="008805F1" w:rsidRPr="008805F1" w:rsidRDefault="008805F1"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r w:rsidRPr="008805F1">
        <w:rPr>
          <w:rFonts w:ascii="Garamond" w:eastAsia="Times New Roman" w:hAnsi="Garamond" w:cs="Times New Roman"/>
          <w:color w:val="000000"/>
          <w:lang w:val="id-ID" w:eastAsia="zh-CN"/>
        </w:rPr>
        <w:tab/>
      </w:r>
      <w:r w:rsidR="00FF6B7E">
        <w:rPr>
          <w:rFonts w:ascii="Garamond" w:eastAsia="Times New Roman" w:hAnsi="Garamond" w:cs="Times New Roman"/>
          <w:color w:val="000000"/>
          <w:lang w:val="id-ID" w:eastAsia="zh-CN"/>
        </w:rPr>
        <w:tab/>
      </w:r>
      <w:r w:rsidRPr="008805F1">
        <w:rPr>
          <w:rFonts w:ascii="Garamond" w:eastAsia="Times New Roman" w:hAnsi="Garamond" w:cs="Times New Roman"/>
          <w:color w:val="000000"/>
          <w:lang w:val="id-ID" w:eastAsia="zh-CN"/>
        </w:rPr>
        <w:t xml:space="preserve">Motivasi adalah faktor fundamental dalam proses pembelajaran. Siswa yang termotivasi lebih mungkin untuk terlibat aktif, bertahan dalam upaya belajar mereka, dan mencapai tingkat keterampilan yang lebih tinggi. Dengan munculnya AI, ada minat yang berkembang tentang bagaimana teknologi dapat memengaruhi motivasi di ruang kelas. Diskusi ini bertujuan untuk mengeksplorasi implikasi multifaset AI pada motivasi siswa. </w:t>
      </w:r>
      <w:r w:rsidRPr="008805F1">
        <w:rPr>
          <w:rFonts w:ascii="Garamond" w:eastAsia="Times New Roman" w:hAnsi="Garamond" w:cs="Times New Roman"/>
          <w:color w:val="000000"/>
          <w:lang w:eastAsia="zh-CN"/>
        </w:rPr>
        <w:t xml:space="preserve">Sejalan dengan temuan penelitian ini,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{"citationItems":[{"id":"ITEM-1","itemData":{"DOI":"10.1109/ITHET46829.2019.8937382","ISBN":"9781728124643","abstract":"Today, every organisation depends on Information and Communication Technology (ICT) for the efficient service delivery and cost-effective application of technological resources. With growing preference towards faster services and acceptance of Artificial Intelligence (AI) based tools in business operations globally as well as in India, the global Chatbot market is going to accelerate in the next decade. In the era of AI, the Chatbot market is witnessing extraordinary growth with the increased demand for smartphones and increased use of messaging applications. In the past few years, the food delivery business, finance and the E-commerce industry have embraced Chatbot technology. One of the industries which can really benefit from using this technology is the educational sector. Education can benefit from Chatbot development. It can improve productivity, communication, learning, efficient teaching assistance, and minimize ambiguity from interaction. A new education platform can solve next-level problems in education using this technology as the engagement tool. The aim of this research paper is to find out the factors which affect the adoption of Chatbot technology in order to enhance the student learning experience in the Indian higher education sector. In this research, a Quantitative method is used through data collection from surveys of some of the prominent higher education institutes using Chatbot technology in India. It is expected that the research outcome will help Chatbot developers and higher education providers to better understand the requirements of students while providing an interactive learning and communication platform for them.","author":[{"dropping-particle":"","family":"Sandu","given":"Nitirajsingh","non-dropping-particle":"","parse-names":false,"suffix":""},{"dropping-particle":"","family":"Gide","given":"Ergun","non-dropping-particle":"","parse-names":false,"suffix":""}],"container-title":"2019 18th International Conference on Information Technology Based Higher Education and Training, ITHET 2019","id":"ITEM-1","issued":{"date-parts":[["2019","9","1"]]},"publisher":"Institute of Electrical and Electronics Engineers Inc.","title":"Adoption of AI-chatbots to enhance student learning experience in higher education in india","type":"article-journal"},"uris":["http://www.mendeley.com/documents/?uuid=c1947009-1c14-301d-8ddb-b5b15487e79f"]}],"mendeley":{"formattedCitation":"(Sandu &amp; Gide, 2019)","plainTextFormattedCitation":"(Sandu &amp; Gide, 2019)","previouslyFormattedCitation":"[37]"},"properties":{"noteIndex":0},"schema":"https://github.com/citation-style-language/schema/raw/master/csl-citation.json"}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(Sandu &amp; Gide, 2019)</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{"citationItems":[{"id":"ITEM-1","itemData":{"DOI":"10.1016/J.CAEAI.2023.100147","ISSN":"2666-920X","abstract":"ChatGPT (generative pre-trained transformer) is one of the artificial intelligence (AI) technologies that have started to be used in programming education. However, the effect of using ChatGPT in programming education on learning processes and outcomes is not yet known. This study investigated the effect of programming education using the ChatGPT on students' computational thinking skills, programming self-efficacy, and motivation toward the lesson. The research was conducted on 45 undergraduate students who took a university-level programming course. The research was carried out according to the experimental design with the pretest-posttest control group. Students were randomly divided into experimental (n = 21) and control (n = 24) groups. While the experimental group students benefited from the ChatGPT during the weekly programming practices, the control group students did not use this tool. Research data were obtained through the computational thinking scale, computer programming self-efficacy scale, and learning motivation in computer programming courses scale. Research findings revealed that the experimental group students' computational thinking skills, programming self-efficacy, and motivation for the lesson were significantly higher than the control group students. In line with this result, it can be said that it may be useful to benefit from AI technologies such as ChatGPT in programming trainings. The research findings, it was emphasized how the most effective use of AI support in the lessons could be made, and various suggestions were made for researchers and educators in this regard.","author":[{"dropping-particle":"","family":"Yilmaz","given":"Ramazan","non-dropping-particle":"","parse-names":false,"suffix":""},{"dropping-particle":"","family":"Karaoglan Yilmaz","given":"Fatma Gizem","non-dropping-particle":"","parse-names":false,"suffix":""}],"container-title":"Computers and Education: Artificial Intelligence","id":"ITEM-1","issued":{"date-parts":[["2023","1","1"]]},"page":"100147","publisher":"Elsevier","title":"The effect of generative artificial intelligence (AI)-based tool use on students' computational thinking skills, programming self-efficacy and motivation","type":"article-journal","volume":"4"},"uris":["http://www.mendeley.com/documents/?uuid=510df828-c92d-39cd-9ab2-6d6392e9cd61"]}],"mendeley":{"formattedCitation":"(Yilmaz &amp; Karaoglan Yilmaz, 2023)","plainTextFormattedCitation":"(Yilmaz &amp; Karaoglan Yilmaz, 2023)","previouslyFormattedCitation":"[38]"},"properties":{"noteIndex":0},"schema":"https://github.com/citation-style-language/schema/raw/master/csl-citation.json"}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(Yilmaz &amp; Karaoglan Yilmaz, 2023)</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{"citationItems":[{"id":"ITEM-1","itemData":{"DOI":"10.3991/ijet.v18i14.39873","abstract":"This research investigates the impact of virtual laboratories (VLabs) based on artificial intelligence (AI) on developing students' motivation toward learning mathematics. A semi-experimental approach is used to achieve the research objectives. The research sample, consisting of 80students from the seventh grade, is selected by the purposeful sampling approach. The research sample is randomly distributed into three groups: two experimental groups and one control group. The first group of 26 students is taught using the AI-based VLabs, while the second group of 27 students is taught using a VLab based on 3D visual imaging, and the third group, a control group consisting of 27 students, is taught using the traditional approach. The research instrument, a questionnaire for learning motivation, was designed after ensuring its validity and reliability. The findings of the motivation questionnaire indicate that students in the first experimental group have more motivation to learn mathematics than students in the second experimental group and the control group. The results also show that the students in the second experimental group have more motivation to learn mathematics than the students in the control group. Given the said findings, the research recommends using virtual laboratories based on artificial intelligence and all its applications in the learning process due to their impact on students' mathematics learning.","author":[{"dropping-particle":"","family":"Qawaqneh","given":"H","non-dropping-particle":"","parse-names":false,"suffix":""},{"dropping-particle":"","family":"Ahmad","given":"F B","non-dropping-particle":"","parse-names":false,"suffix":""},{"dropping-particle":"","family":"Alawamreh","given":"","non-dropping-particle":"","parse-names":false,"suffix":""}],"container-title":"Motivation Towards Learning Mathematics. International Journal of Emerging Technologies in Learning (iJET)","id":"ITEM-1","issue":"14","issued":{"date-parts":[["2023"]]},"page":"1863-0383","title":"The Impact of Artificial Intelligence-Based Virtual Laboratories on Developing Students","type":"article-journal","volume":"18"},"uris":["http://www.mendeley.com/documents/?uuid=36e3d38d-c1a3-3419-9148-336353d5d13c"]}],"mendeley":{"formattedCitation":"(Qawaqneh et al., 2023)","plainTextFormattedCitation":"(Qawaqneh et al., 2023)","previouslyFormattedCitation":"[39]"},"properties":{"noteIndex":0},"schema":"https://github.com/citation-style-language/schema/raw/master/csl-citation.json"}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(Qawaqneh et al., 2023)</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eastAsia="zh-CN"/>
        </w:rPr>
        <w:t xml:space="preserve"> menggambarakan potensi positif AI dalam dunia Pendidikan, seperti: </w:t>
      </w:r>
      <w:r w:rsidRPr="008805F1">
        <w:rPr>
          <w:rFonts w:ascii="Garamond" w:eastAsia="Times New Roman" w:hAnsi="Garamond" w:cs="Times New Roman"/>
          <w:color w:val="000000"/>
          <w:lang w:val="id-ID" w:eastAsia="zh-CN"/>
        </w:rPr>
        <w:t>Gamification dan AI: Teknik gamification, bila dikombinasikan dengan AI, dapat mengubah proses pembelajaran menjadi pengalaman yang menarik dan menyenangkan. Algoritma AI dapat menyesuaikan kesulitan permainan berdasarkan kinerja individu, memastikan bahwa siswa terus ditantang pada tingkat yang sesuai, sehingga meningkatkan motivasi. Tantangan dan Masalah Etis: Meskipun AI memiliki potensi besar untuk memotivasi siswa, ada beberapa tantangan dan masalah etika yang perlu dipertimbangkan. Siswa mungkin menjadi terlalu bergantung pada AI, berpotensi mengurangi motivasi intrinsik mereka untuk belajar. Selain itu, masalah yang terkait dengan privasi data dan bias algoritmik harus ditangani untuk memastikan akses yang adil ke alat pendidikan berbasis AI. Peran Guru dalam pembelajaran yang Ditingkatkan AI di Kelas: Guru tetap menjadi bagian integral dari proses pembelajaran, bahkan di ruang kelas yang digerakkan oleh AI. Mereka harus beradaptasi dengan peran baru sebagai fasilitator, memberikan bimbingan dan dukungan sambil memanfaatkan alat AI untuk menciptakan lingkungan belajar yang lebih dinamis dan memotivasi.</w:t>
      </w:r>
    </w:p>
    <w:p w14:paraId="49943ED5" w14:textId="29EF7B04" w:rsidR="008805F1" w:rsidRPr="008805F1" w:rsidRDefault="00FF6B7E"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r>
        <w:rPr>
          <w:rFonts w:ascii="Garamond" w:eastAsia="Times New Roman" w:hAnsi="Garamond" w:cs="Times New Roman"/>
          <w:color w:val="000000"/>
          <w:lang w:val="id-ID" w:eastAsia="zh-CN"/>
        </w:rPr>
        <w:tab/>
      </w:r>
      <w:r w:rsidR="008805F1" w:rsidRPr="008805F1">
        <w:rPr>
          <w:rFonts w:ascii="Garamond" w:eastAsia="Times New Roman" w:hAnsi="Garamond" w:cs="Times New Roman"/>
          <w:color w:val="000000"/>
          <w:lang w:val="id-ID" w:eastAsia="zh-CN"/>
        </w:rPr>
        <w:tab/>
        <w:t>Integrasi kecerdasan buatan (AI) ke dalam pendidikan telah menjadi perkembangan transformatif, dan memiliki implikasi yang sangat signifikan untuk proses belajar mengajar di bidang pendidikan. Selain itu, di bagian yang sama dari diskusi ini, kami menyelidiki bagaimana AI memengaruhi motivasi siswa, baik secara positif maupun negatif, dan apa artinya ini bagi masa depan pembelajaran di bidang pendidikan.</w:t>
      </w:r>
      <w:r w:rsidR="008805F1" w:rsidRPr="008805F1">
        <w:rPr>
          <w:rFonts w:ascii="Garamond" w:eastAsia="Times New Roman" w:hAnsi="Garamond" w:cs="Times New Roman"/>
          <w:color w:val="000000"/>
          <w:lang w:eastAsia="zh-CN"/>
        </w:rPr>
        <w:t xml:space="preserve"> Pengaruh</w:t>
      </w:r>
      <w:r w:rsidR="008805F1" w:rsidRPr="008805F1">
        <w:rPr>
          <w:rFonts w:ascii="Garamond" w:eastAsia="Times New Roman" w:hAnsi="Garamond" w:cs="Times New Roman"/>
          <w:color w:val="000000"/>
          <w:lang w:val="id-ID" w:eastAsia="zh-CN"/>
        </w:rPr>
        <w:t xml:space="preserve"> Positif</w:t>
      </w:r>
      <w:r w:rsidR="008805F1" w:rsidRPr="008805F1">
        <w:rPr>
          <w:rFonts w:ascii="Garamond" w:eastAsia="Times New Roman" w:hAnsi="Garamond" w:cs="Times New Roman"/>
          <w:color w:val="000000"/>
          <w:lang w:eastAsia="zh-CN"/>
        </w:rPr>
        <w:t xml:space="preserve">, sejalan dengan </w:t>
      </w:r>
      <w:r w:rsidR="008805F1" w:rsidRPr="008805F1">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{"citationItems":[{"id":"ITEM-1","itemData":{"DOI":"10.1007/S10639-022-11547-X/METRICS","ISSN":"15737608","abstract":"Artificial intelligence (AI) has the potential to support self-regulated learning (SRL) because of its strong anthropomorphic characteristics. However, most studies of AI in education have focused on cognitive outcomes in higher education, and little research has examined how psychological needs affect SRL with AI in the K–12 setting. SRL is a self-directed process driven by psychological factors that can be explained by the three basic needs of self-determination theory (SDT), i.e., autonomy, competence, and relatedness. This study fills a research gap by examining the moderating effects of need satisfaction and gender in predicting SRL among Grade 9 students. The results indicate that girls perceive more need support than boys. In predicting SRL, satisfaction of the need for autonomy and competence is moderated by both gender and AI knowledge, whereas satisfaction of the need for relatedness is moderated by gender only. Particularly among girls, the effects of autonomy and competence more strongly predict SRL when AI knowledge is low. These findings confirm the gender differences in need satisfaction when predicting SRL with a chatbot. The findings have implications for both teacher instruction and the design and development of intelligent learning environments.","author":[{"dropping-particle":"","family":"Xia","given":"Qi","non-dropping-particle":"","parse-names":false,"suffix":""},{"dropping-particle":"","family":"Chiu","given":"Thomas K.F.","non-dropping-particle":"","parse-names":false,"suffix":""},{"dropping-particle":"","family":"Chai","given":"Ching Sing","non-dropping-particle":"","parse-names":false,"suffix":""}],"container-title":"Education and Information Technologies","id":"ITEM-1","issue":"7","issued":{"date-parts":[["2022","7","1"]]},"page":"8691-8713","publisher":"Springer","title":"The moderating effects of gender and need satisfaction on self-regulated learning through Artificial Intelligence (AI)","type":"article-journal","volume":"28"},"uris":["http://www.mendeley.com/documents/?uuid=67571282-5c7e-3055-94d4-d372867fabc3"]}],"mendeley":{"formattedCitation":"(Xia et al., 2022)","plainTextFormattedCitation":"(Xia et al., 2022)","previouslyFormattedCitation":"[16]"},"properties":{"noteIndex":0},"schema":"https://github.com/citation-style-language/schema/raw/master/csl-citation.json"}</w:instrText>
      </w:r>
      <w:r w:rsidR="008805F1" w:rsidRPr="008805F1">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(Xia et al., 2022)</w:t>
      </w:r>
      <w:r w:rsidR="008805F1" w:rsidRPr="008805F1">
        <w:rPr>
          <w:rFonts w:ascii="Garamond" w:eastAsia="Times New Roman" w:hAnsi="Garamond" w:cs="Times New Roman"/>
          <w:color w:val="000000"/>
          <w:lang w:eastAsia="zh-CN"/>
        </w:rPr>
        <w:fldChar w:fldCharType="end"/>
      </w:r>
      <w:r w:rsidR="008805F1" w:rsidRPr="008805F1">
        <w:rPr>
          <w:rFonts w:ascii="Garamond" w:eastAsia="Times New Roman" w:hAnsi="Garamond" w:cs="Times New Roman"/>
          <w:color w:val="000000"/>
          <w:lang w:eastAsia="zh-CN"/>
        </w:rPr>
        <w:t xml:space="preserve">, </w:t>
      </w:r>
      <w:r w:rsidR="008805F1" w:rsidRPr="008805F1">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{"citationItems":[{"id":"ITEM-1","itemData":{"DOI":"10.1155/2021/8812542","ISSN":"10990526","abstract":"This study provided a content analysis of studies aiming to disclose how artificial intelligence (AI) has been applied to the education sector and explore the potential research trends and challenges of AI in education. A total of 100 papers including 63 empirical papers (74 studies) and 37 analytic papers were selected from the education and educational research category of Social Sciences Citation Index database from 2010 to 2020. The content analysis showed that the research questions could be classified into development layer (classification, matching, recommendation, and deep learning), application layer (feedback, reasoning, and adaptive learning), and integration layer (affection computing, role-playing, immersive learning, and gamification). Moreover, four research trends, including Internet of Things, swarm intelligence, deep learning, and neuroscience, as well as an assessment of AI in education, were suggested for further investigation. However, we also proposed the challenges in education may be caused by AI with regard to inappropriate use of AI techniques, changing roles of teachers and students, as well as social and ethical issues. The results provide insights into an overview of the AI used for education domain, which helps to strengthen the theoretical foundation of AI in education and provides a promising channel for educators and AI engineers to carry out further collaborative research.","author":[{"dropping-particle":"","family":"Zhai","given":"Xuesong","non-dropping-particle":"","parse-names":false,"suffix":""},{"dropping-particle":"","family":"Chu","given":"Xiaoyan","non-dropping-particle":"","parse-names":false,"suffix":""},{"dropping-particle":"","family":"Chai","given":"Ching Sing","non-dropping-particle":"","parse-names":false,"suffix":""},{"dropping-particle":"","family":"Jong","given":"Morris Siu Yung","non-dropping-particle":"","parse-names":false,"suffix":""},{"dropping-particle":"","family":"Istenic","given":"Andreja","non-dropping-particle":"","parse-names":false,"suffix":""},{"dropping-particle":"","family":"Spector","given":"Michael","non-dropping-particle":"","parse-names":false,"suffix":""},{"dropping-particle":"","family":"Liu","given":"Jia Bao","non-dropping-particle":"","parse-names":false,"suffix":""},{"dropping-particle":"","family":"Yuan","given":"Jing","non-dropping-particle":"","parse-names":false,"suffix":""},{"dropping-particle":"","family":"Li","given":"Yan","non-dropping-particle":"","parse-names":false,"suffix":""}],"container-title":"Complexity","id":"ITEM-1","issued":{"date-parts":[["2021"]]},"publisher":"Hindawi Limited","title":"A Review of Artificial Intelligence (AI) in Education from 2010 to 2020","type":"article-journal","volume":"2021"},"uris":["http://www.mendeley.com/documents/?uuid=3b529290-1269-337d-8cba-69d91842dc33"]}],"mendeley":{"formattedCitation":"(Zhai et al., 2021)","plainTextFormattedCitation":"(Zhai et al., 2021)","previouslyFormattedCitation":"[30]"},"properties":{"noteIndex":0},"schema":"https://github.com/citation-style-language/schema/raw/master/csl-citation.json"}</w:instrText>
      </w:r>
      <w:r w:rsidR="008805F1" w:rsidRPr="008805F1">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(Zhai et al., 2021)</w:t>
      </w:r>
      <w:r w:rsidR="008805F1" w:rsidRPr="008805F1">
        <w:rPr>
          <w:rFonts w:ascii="Garamond" w:eastAsia="Times New Roman" w:hAnsi="Garamond" w:cs="Times New Roman"/>
          <w:color w:val="000000"/>
          <w:lang w:eastAsia="zh-CN"/>
        </w:rPr>
        <w:fldChar w:fldCharType="end"/>
      </w:r>
      <w:r w:rsidR="008805F1" w:rsidRPr="008805F1">
        <w:rPr>
          <w:rFonts w:ascii="Garamond" w:eastAsia="Times New Roman" w:hAnsi="Garamond" w:cs="Times New Roman"/>
          <w:color w:val="000000"/>
          <w:lang w:eastAsia="zh-CN"/>
        </w:rPr>
        <w:t xml:space="preserve">, </w:t>
      </w:r>
      <w:r w:rsidR="008805F1" w:rsidRPr="008805F1">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{"citationItems":[{"id":"ITEM-1","itemData":{"DOI":"10.1109/FIE56618.2022.9962478","ISBN":"9781665462440","ISSN":"15394565","abstract":"This paper presents the results of a study with 134 participants to explore the effects of learning from an AI-generated virtual instructor that resembles a person one likes or admires. Given the important role instructors play in shaping learning experiences, as well as the recent surge in demand for online education, we investigate the potential for AI-generated instructors to motivate learning. Recent advances in generative AI have made it easy to create virtual instructors based on the likeness of a present-day, historical or fictional person, thereby enabling customization of video instructors based on the material, context and student. We found that while greater degrees of liking and admiration do not result in increased test scores, they can significantly improve students' motivation towards learning, foster more positive emotions, and boost their appraisal of the AI-generated instructor as serving as an effective instructor.","author":[{"dropping-particle":"","family":"Pataranutaporn","given":"Pat","non-dropping-particle":"","parse-names":false,"suffix":""},{"dropping-particle":"","family":"Leong","given":"Joanne","non-dropping-particle":"","parse-names":false,"suffix":""},{"dropping-particle":"","family":"Danry","given":"Valdemar","non-dropping-particle":"","parse-names":false,"suffix":""},{"dropping-particle":"","family":"Lawson","given":"Alyssa P.","non-dropping-particle":"","parse-names":false,"suffix":""},{"dropping-particle":"","family":"Maes","given":"Pattie","non-dropping-particle":"","parse-names":false,"suffix":""},{"dropping-particle":"","family":"Sra","given":"Misha","non-dropping-particle":"","parse-names":false,"suffix":""}],"container-title":"Proceedings - Frontiers in Education Conference, FIE","id":"ITEM-1","issued":{"date-parts":[["2022"]]},"publisher":"Institute of Electrical and Electronics Engineers Inc.","title":"AI-Generated Virtual Instructors Based on Liked or Admired People Can Improve Motivation and Foster Positive Emotions for Learning","type":"article-journal","volume":"2022-October"},"uris":["http://www.mendeley.com/documents/?uuid=db072995-ba05-32ad-9969-11f275d810cb"]}],"mendeley":{"formattedCitation":"(Pataranutaporn et al., 2022)","plainTextFormattedCitation":"(Pataranutaporn et al., 2022)","previouslyFormattedCitation":"[40]"},"properties":{"noteIndex":0},"schema":"https://github.com/citation-style-language/schema/raw/master/csl-citation.json"}</w:instrText>
      </w:r>
      <w:r w:rsidR="008805F1" w:rsidRPr="008805F1">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(Pataranutaporn et al., 2022)</w:t>
      </w:r>
      <w:r w:rsidR="008805F1" w:rsidRPr="008805F1">
        <w:rPr>
          <w:rFonts w:ascii="Garamond" w:eastAsia="Times New Roman" w:hAnsi="Garamond" w:cs="Times New Roman"/>
          <w:color w:val="000000"/>
          <w:lang w:eastAsia="zh-CN"/>
        </w:rPr>
        <w:fldChar w:fldCharType="end"/>
      </w:r>
      <w:r w:rsidR="008805F1" w:rsidRPr="008805F1">
        <w:rPr>
          <w:rFonts w:ascii="Garamond" w:eastAsia="Times New Roman" w:hAnsi="Garamond" w:cs="Times New Roman"/>
          <w:color w:val="000000"/>
          <w:lang w:eastAsia="zh-CN"/>
        </w:rPr>
        <w:t xml:space="preserve">, </w:t>
      </w:r>
      <w:r w:rsidR="008805F1" w:rsidRPr="008805F1">
        <w:rPr>
          <w:rFonts w:ascii="Garamond" w:eastAsia="Times New Roman" w:hAnsi="Garamond" w:cs="Times New Roman"/>
          <w:color w:val="000000"/>
          <w:lang w:eastAsia="zh-CN"/>
        </w:rPr>
        <w:fldChar w:fldCharType="begin" w:fldLock="1"/>
      </w:r>
      <w:r w:rsidR="008805F1">
        <w:rPr>
          <w:rFonts w:ascii="Garamond" w:eastAsia="Times New Roman" w:hAnsi="Garamond" w:cs="Times New Roman"/>
          <w:color w:val="000000"/>
          <w:lang w:eastAsia="zh-CN"/>
        </w:rPr>
        <w:instrText>ADDIN CSL_CITATION {"citationItems":[{"id":"ITEM-1","itemData":{"author":[{"dropping-particle":"","family":"Lai","given":"Chiu-Lin","non-dropping-particle":"","parse-names":false,"suffix":""}],"container-title":"Educational Technology &amp; Society","id":"ITEM-1","issue":"4","issued":{"date-parts":[["2021"]]},"page":"1-15","title":"Exploring University Students’Preferences for AI-Assisted Learning Environment","type":"article-journal","volume":"24"},"uris":["http://www.mendeley.com/documents/?uuid=b483fa24-df16-4e70-b083-52462eb97cf0"]}],"mendeley":{"formattedCitation":"(Lai, 2021)","plainTextFormattedCitation":"(Lai, 2021)","previouslyFormattedCitation":"[41]"},"properties":{"noteIndex":0},"schema":"https://github.com/citation-style-language/schema/raw/master/csl-citation.json"}</w:instrText>
      </w:r>
      <w:r w:rsidR="008805F1" w:rsidRPr="008805F1">
        <w:rPr>
          <w:rFonts w:ascii="Garamond" w:eastAsia="Times New Roman" w:hAnsi="Garamond" w:cs="Times New Roman"/>
          <w:color w:val="000000"/>
          <w:lang w:eastAsia="zh-CN"/>
        </w:rPr>
        <w:fldChar w:fldCharType="separate"/>
      </w:r>
      <w:r w:rsidR="008805F1" w:rsidRPr="008805F1">
        <w:rPr>
          <w:rFonts w:ascii="Garamond" w:eastAsia="Times New Roman" w:hAnsi="Garamond" w:cs="Times New Roman"/>
          <w:noProof/>
          <w:color w:val="000000"/>
          <w:lang w:eastAsia="zh-CN"/>
        </w:rPr>
        <w:t>(Lai, 2021)</w:t>
      </w:r>
      <w:r w:rsidR="008805F1" w:rsidRPr="008805F1">
        <w:rPr>
          <w:rFonts w:ascii="Garamond" w:eastAsia="Times New Roman" w:hAnsi="Garamond" w:cs="Times New Roman"/>
          <w:color w:val="000000"/>
          <w:lang w:eastAsia="zh-CN"/>
        </w:rPr>
        <w:fldChar w:fldCharType="end"/>
      </w:r>
      <w:r w:rsidR="008805F1" w:rsidRPr="008805F1">
        <w:rPr>
          <w:rFonts w:ascii="Garamond" w:eastAsia="Times New Roman" w:hAnsi="Garamond" w:cs="Times New Roman"/>
          <w:color w:val="000000"/>
          <w:lang w:val="id-ID" w:eastAsia="zh-CN"/>
        </w:rPr>
        <w:t xml:space="preserve">: </w:t>
      </w:r>
      <w:r w:rsidR="008805F1" w:rsidRPr="008805F1">
        <w:rPr>
          <w:rFonts w:ascii="Garamond" w:eastAsia="Times New Roman" w:hAnsi="Garamond" w:cs="Times New Roman"/>
          <w:color w:val="000000"/>
          <w:lang w:eastAsia="zh-CN"/>
        </w:rPr>
        <w:t xml:space="preserve"> </w:t>
      </w:r>
      <w:r w:rsidR="008805F1" w:rsidRPr="008805F1">
        <w:rPr>
          <w:rFonts w:ascii="Garamond" w:eastAsia="Times New Roman" w:hAnsi="Garamond" w:cs="Times New Roman"/>
          <w:color w:val="000000"/>
          <w:lang w:val="id-ID" w:eastAsia="zh-CN"/>
        </w:rPr>
        <w:t xml:space="preserve">Personalisasi dan Adaptasi: Platform berbasis AI dapat menganalisis kinerja siswa secara individu dan menyesuaikan pelajaran dengan kebutuhan spesifik mereka. Personalisasi ini menumbuhkan rasa kemajuan, karena siswa dapat melihat peningkatan mereka, yang pada gilirannya memotivasi mereka untuk terus belajar. Umpan Balik Segera: AI dapat memberikan umpan balik instan tentang latihan pembelajaran, memperbaiki </w:t>
      </w:r>
      <w:r w:rsidR="008805F1" w:rsidRPr="008805F1">
        <w:rPr>
          <w:rFonts w:ascii="Garamond" w:eastAsia="Times New Roman" w:hAnsi="Garamond" w:cs="Times New Roman"/>
          <w:color w:val="000000"/>
          <w:lang w:val="id-ID" w:eastAsia="zh-CN"/>
        </w:rPr>
        <w:lastRenderedPageBreak/>
        <w:t>kesalahan, dan menawarkan saran untuk perbaikan. Penguatan langsung ini dapat meningkatkan kepercayaan diri dan motivasi siswa karena mereka melihat kesalahan mereka sebagai peluang untuk pertumbuhan. Gamification: Banyak aplikasi pembelajaran yang didukung AI menggabungkan elemen gamification, mengubah proses pembelajaran menjadi pengalaman yang lebih menarik dan menyenangkan. Poin, penghargaan, dan kompetisi dapat memotivasi siswa untuk menginvestasikan lebih banyak waktu dan upaya dalam studi mereka. Aksesibilitas: AI dapat menyediakan fitur aksesibilitas bagi siswa dengan kebutuhan khusus atau gaya belajar yang berbeda, memastikan bahwa peserta didik yang lebih luas dapat terlibat secara efektif. Inklusivitas ini dapat menumbuhkan rasa memiliki dan motivasi di antara populasi siswa yang beragam.</w:t>
      </w:r>
    </w:p>
    <w:p w14:paraId="573B46A5" w14:textId="2B5184E7" w:rsidR="008805F1" w:rsidRPr="008805F1" w:rsidRDefault="008805F1"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val="id-ID" w:eastAsia="zh-CN"/>
        </w:rPr>
      </w:pPr>
      <w:r w:rsidRPr="008805F1">
        <w:rPr>
          <w:rFonts w:ascii="Garamond" w:eastAsia="Times New Roman" w:hAnsi="Garamond" w:cs="Times New Roman"/>
          <w:color w:val="000000"/>
          <w:lang w:eastAsia="zh-CN"/>
        </w:rPr>
        <w:tab/>
      </w:r>
      <w:r w:rsidR="00FF6B7E">
        <w:rPr>
          <w:rFonts w:ascii="Garamond" w:eastAsia="Times New Roman" w:hAnsi="Garamond" w:cs="Times New Roman"/>
          <w:color w:val="000000"/>
          <w:lang w:eastAsia="zh-CN"/>
        </w:rPr>
        <w:tab/>
      </w:r>
      <w:r w:rsidRPr="008805F1">
        <w:rPr>
          <w:rFonts w:ascii="Garamond" w:eastAsia="Times New Roman" w:hAnsi="Garamond" w:cs="Times New Roman"/>
          <w:color w:val="000000"/>
          <w:lang w:val="id-ID" w:eastAsia="zh-CN"/>
        </w:rPr>
        <w:t xml:space="preserve">Sementara itu, </w:t>
      </w:r>
      <w:r w:rsidRPr="008805F1">
        <w:rPr>
          <w:rFonts w:ascii="Garamond" w:eastAsia="Times New Roman" w:hAnsi="Garamond" w:cs="Times New Roman"/>
          <w:color w:val="000000"/>
          <w:lang w:val="id-ID" w:eastAsia="zh-CN"/>
        </w:rPr>
        <w:fldChar w:fldCharType="begin" w:fldLock="1"/>
      </w:r>
      <w:r w:rsidR="00FF6B7E">
        <w:rPr>
          <w:rFonts w:ascii="Garamond" w:eastAsia="Times New Roman" w:hAnsi="Garamond" w:cs="Times New Roman"/>
          <w:color w:val="000000"/>
          <w:lang w:val="id-ID" w:eastAsia="zh-CN"/>
        </w:rPr>
        <w:instrText>ADDIN CSL_CITATION {"citationItems":[{"id":"ITEM-1","itemData":{"DOI":"10.1080/10494820.2019.1674887","ISSN":"17445191","abstract":"While increasing productivity and economic growth, the application of artificial intelligence (AI) may ultimately require millions of people around the world to change careers or improve their skil...","author":[{"dropping-particle":"","family":"Wang","given":"Yu Yin","non-dropping-particle":"","parse-names":false,"suffix":""},{"dropping-particle":"","family":"Wang","given":"Yi Shun","non-dropping-particle":"","parse-names":false,"suffix":""}],"container-title":"Interactive Learning Environments","id":"ITEM-1","issue":"4","issued":{"date-parts":[["2019"]]},"page":"619-634","publisher":"Routledge","title":"Development and validation of an artificial intelligence anxiety scale: an initial application in predicting motivated learning behavior","type":"article-journal","volume":"30"},"uris":["http://www.mendeley.com/documents/?uuid=25751d46-4478-3782-91b3-a09116334b98"]}],"mendeley":{"formattedCitation":"(Y. Y. Wang &amp; Wang, 2019)","manualFormatting":"(Wang &amp; Wang, 2019)","plainTextFormattedCitation":"(Y. Y. Wang &amp; Wang, 2019)","previouslyFormattedCitation":"[42]"},"properties":{"noteIndex":0},"schema":"https://github.com/citation-style-language/schema/raw/master/csl-citation.json"}</w:instrText>
      </w:r>
      <w:r w:rsidRPr="008805F1">
        <w:rPr>
          <w:rFonts w:ascii="Garamond" w:eastAsia="Times New Roman" w:hAnsi="Garamond" w:cs="Times New Roman"/>
          <w:color w:val="000000"/>
          <w:lang w:val="id-ID" w:eastAsia="zh-CN"/>
        </w:rPr>
        <w:fldChar w:fldCharType="separate"/>
      </w:r>
      <w:r w:rsidRPr="008805F1">
        <w:rPr>
          <w:rFonts w:ascii="Garamond" w:eastAsia="Times New Roman" w:hAnsi="Garamond" w:cs="Times New Roman"/>
          <w:noProof/>
          <w:color w:val="000000"/>
          <w:lang w:val="id-ID" w:eastAsia="zh-CN"/>
        </w:rPr>
        <w:t>(Wang &amp; Wang, 2019)</w:t>
      </w:r>
      <w:r w:rsidRPr="008805F1">
        <w:rPr>
          <w:rFonts w:ascii="Garamond" w:eastAsia="Times New Roman" w:hAnsi="Garamond" w:cs="Times New Roman"/>
          <w:color w:val="000000"/>
          <w:lang w:val="id-ID" w:eastAsia="zh-CN"/>
        </w:rPr>
        <w:fldChar w:fldCharType="end"/>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{"citationItems":[{"id":"ITEM-1","itemData":{"DOI":"10.1007/S40593-022-00326-X/TABLES/8","ISSN":"15604306","abstract":"Personalized gamification aims to address shortcomings of the one-size-fits-all (OSFA) approach in improving students’ motivations throughout the learning process. However, studies still focus on personalizing to a single user dimension, ignoring multiple individual and contextual factors that affect user motivation. Unlike prior research, we address this issue by exploring multidimensional personalization compared to OSFA based on a multi-institution sample. Thus, we conducted a controlled experiment in three institutions, comparing gamification designs (OSFA and Personalized to the learning task and users’ gaming habits/preferences and demographics) in terms of 58 students’ motivations to complete assessments for learning. Our results suggest no significant differences among OSFA and Personalized designs, despite suggesting user motivation depended on fewer user characteristics when using personalization. Additionally, exploratory analyses suggest personalization was positive for females and those holding a technical degree, but negative for those who prefer adventure games and those who prefer single-playing. Our contribution benefits designers, suggesting how personalization works; practitioners, demonstrating to whom the personalization strategy was more or less suitable; and researchers, providing future research directions.","author":[{"dropping-particle":"","family":"Rodrigues","given":"Luiz","non-dropping-particle":"","parse-names":false,"suffix":""},{"dropping-particle":"","family":"Palomino","given":"Paula T.","non-dropping-particle":"","parse-names":false,"suffix":""},{"dropping-particle":"","family":"Toda","given":"Armando M.","non-dropping-particle":"","parse-names":false,"suffix":""},{"dropping-particle":"","family":"Klock","given":"Ana C.T.","non-dropping-particle":"","parse-names":false,"suffix":""},{"dropping-particle":"","family":"Pessoa","given":"Marcela","non-dropping-particle":"","parse-names":false,"suffix":""},{"dropping-particle":"","family":"Pereira","given":"Filipe D.","non-dropping-particle":"","parse-names":false,"suffix":""},{"dropping-particle":"","family":"Oliveira","given":"Elaine H.T.","non-dropping-particle":"","parse-names":false,"suffix":""},{"dropping-particle":"","family":"Oliveira","given":"David F.","non-dropping-particle":"","parse-names":false,"suffix":""},{"dropping-particle":"","family":"Cristea","given":"Alexandra I.","non-dropping-particle":"","parse-names":false,"suffix":""},{"dropping-particle":"","family":"Gasparini","given":"Isabela","non-dropping-particle":"","parse-names":false,"suffix":""},{"dropping-particle":"","family":"Isotani","given":"Seiji","non-dropping-particle":"","parse-names":false,"suffix":""}],"container-title":"International Journal of Artificial Intelligence in Education","id":"ITEM-1","issued":{"date-parts":[["2023","1","10"]]},"page":"1-38","publisher":"Springer","title":"How Personalization Affects Motivation in Gamified Review Assessments","type":"article-journal"},"uris":["http://www.mendeley.com/documents/?uuid=c07287f5-d219-3bb1-be69-68821f0844f3"]}],"mendeley":{"formattedCitation":"(Rodrigues et al., 2023)","plainTextFormattedCitation":"(Rodrigues et al., 2023)","previouslyFormattedCitation":"[4]"},"properties":{"noteIndex":0},"schema":"https://github.com/citation-style-language/schema/raw/master/csl-citation.json"}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(Rodrigues et al., 2023)</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{"citationItems":[{"id":"ITEM-1","itemData":{"DOI":"10.1186/S41239-019-0171-0","ISSN":"2365-9440","abstract":"According to various international reports, Artificial Intelligence in Education (AIEd) is one of the currently emerging fields in educational technology. Whilst it has been around for about 30</w:instrText>
      </w:r>
      <w:r>
        <w:rPr>
          <w:rFonts w:ascii="Times New Roman" w:eastAsia="Times New Roman" w:hAnsi="Times New Roman" w:cs="Times New Roman"/>
          <w:color w:val="000000"/>
          <w:lang w:eastAsia="zh-CN"/>
        </w:rPr>
        <w:instrText> </w:instrText>
      </w:r>
      <w:r>
        <w:rPr>
          <w:rFonts w:ascii="Garamond" w:eastAsia="Times New Roman" w:hAnsi="Garamond" w:cs="Times New Roman"/>
          <w:color w:val="000000"/>
          <w:lang w:eastAsia="zh-CN"/>
        </w:rPr>
        <w:instrText>years, it is still unclear for educators how to make pedagogical advantage of it on a broader scale, and how it can actually impact meaningfully on teaching and learning in higher education. This paper seeks to provide an overview of research on AI applications in higher education through a systematic review. Out of 2656 initially identified publications for the period between 2007 and 2018, 146 articles were included for final synthesis, according to explicit inclusion and exclusion criteria. The descriptive results show that most of the disciplines involved in AIEd papers come from Computer Science and STEM, and that quantitative methods were the most frequently used in empirical studies. The synthesis of results presents four areas of AIEd applications in academic support services, and institutional and administrative services: 1. profiling and prediction, 2. assessment and evaluation, 3. adaptive systems and personalisation, and 4. intelligent tutoring systems. The conclusions reflect on the almost lack of critical reflection of challenges and risks of AIEd, the weak connection to theoretical pedagogical perspectives, and the need for further exploration of ethical and educational approaches in the application of AIEd in higher education.","author":[{"dropping-particle":"","family":"Zawacki-Richter","given":"Olaf","non-dropping-particle":"","parse-names":false,"suffix":""},{"dropping-particle":"","family":"Marín","given":"Victoria I.","non-dropping-particle":"","parse-names":false,"suffix":""},{"dropping-particle":"","family":"Bond","given":"Melissa","non-dropping-particle":"","parse-names":false,"suffix":""},{"dropping-particle":"","family":"Gouverneur","given":"Franziska","non-dropping-particle":"","parse-names":false,"suffix":""}],"container-title":"International Journal of Educational Technology in Higher Education 2019 16:1","id":"ITEM-1","issue":"1","issued":{"date-parts":[["2019","10","28"]]},"page":"1-27","publisher":"SpringerOpen","title":"Systematic review of research on artificial intelligence applications in higher education – where are the educators?","type":"article-journal","volume":"16"},"uris":["http://www.mendeley.com/documents/?uuid=65bbaf45-96de-390f-96be-ec060fc70bf5"]}],"mendeley":{"formattedCitation":"(Zawacki-Richter et al., 2019)","plainTextFormattedCitation":"(Zawacki-Richter et al., 2019)","previouslyFormattedCitation":"[8]"},"properties":{"noteIndex":0},"schema":"https://github.com/citation-style-language/schema/raw/master/csl-citation.json"}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(Zawacki-Richter et al., 2019)</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eastAsia="zh-CN"/>
        </w:rPr>
        <w:t xml:space="preserve">, </w:t>
      </w:r>
      <w:r w:rsidRPr="008805F1">
        <w:rPr>
          <w:rFonts w:ascii="Garamond" w:eastAsia="Times New Roman" w:hAnsi="Garamond" w:cs="Times New Roman"/>
          <w:color w:val="000000"/>
          <w:lang w:eastAsia="zh-CN"/>
        </w:rPr>
        <w:fldChar w:fldCharType="begin" w:fldLock="1"/>
      </w:r>
      <w:r>
        <w:rPr>
          <w:rFonts w:ascii="Garamond" w:eastAsia="Times New Roman" w:hAnsi="Garamond" w:cs="Times New Roman"/>
          <w:color w:val="000000"/>
          <w:lang w:eastAsia="zh-CN"/>
        </w:rPr>
        <w:instrText>ADDIN CSL_CITATION {"citationItems":[{"id":"ITEM-1","itemData":{"DOI":"10.1007/S10639-020-10159-7/TABLES/6","ISSN":"15737608","abstract":"Emergence of the use and application of Artificial Intelligence (AI) in higher education in India has opened new possibilities and challenges. Use of AI in will bring in effective change of governance in the entire internal architecture of Indian Institutes of higher education. The prospect of use of AI includes investigation of educational implications as to how teachers would enrich them, how students would learn, and how accurate and prompt decisions can be taken in the institutes of higher education. This is important since the workload has been multiplied due to massification of higher education. Such being the scenario, help of AI is highly essential. The question of adoption of AI in higher education is an important issue in this perspective. The purpose of this study is to explore how the stakeholders would be able to adopt it. For this, we have taken help of many adoption theories and models including ‘Unified Theory of Acceptance and Use of Technology’ (UTAUT) model. We have developed hypotheses and a conceptual model and got it validated through survey with the help of feedbacks from useable 329 respondents. It has been found that the model can help the authorities to facilitate adoption of AI in higher education.","author":[{"dropping-particle":"","family":"Chatterjee","given":"Sheshadri","non-dropping-particle":"","parse-names":false,"suffix":""},{"dropping-particle":"","family":"Bhattacharjee","given":"Kalyan Kumar","non-dropping-particle":"","parse-names":false,"suffix":""}],"container-title":"Education and Information Technologies","id":"ITEM-1","issue":"5","issued":{"date-parts":[["2020","9","1"]]},"page":"3443-3463","publisher":"Springer","title":"Adoption of artificial intelligence in higher education: a quantitative analysis using structural equation modelling","type":"article-journal","volume":"25"},"uris":["http://www.mendeley.com/documents/?uuid=900b4006-8a79-3aae-bdbd-5238a0978704"]}],"mendeley":{"formattedCitation":"(Chatterjee &amp; Bhattacharjee, 2020)","plainTextFormattedCitation":"(Chatterjee &amp; Bhattacharjee, 2020)","previouslyFormattedCitation":"[9]"},"properties":{"noteIndex":0},"schema":"https://github.com/citation-style-language/schema/raw/master/csl-citation.json"}</w:instrText>
      </w:r>
      <w:r w:rsidRPr="008805F1">
        <w:rPr>
          <w:rFonts w:ascii="Garamond" w:eastAsia="Times New Roman" w:hAnsi="Garamond" w:cs="Times New Roman"/>
          <w:color w:val="000000"/>
          <w:lang w:eastAsia="zh-CN"/>
        </w:rPr>
        <w:fldChar w:fldCharType="separate"/>
      </w:r>
      <w:r w:rsidRPr="008805F1">
        <w:rPr>
          <w:rFonts w:ascii="Garamond" w:eastAsia="Times New Roman" w:hAnsi="Garamond" w:cs="Times New Roman"/>
          <w:noProof/>
          <w:color w:val="000000"/>
          <w:lang w:eastAsia="zh-CN"/>
        </w:rPr>
        <w:t>(Chatterjee &amp; Bhattacharjee, 2020)</w:t>
      </w:r>
      <w:r w:rsidRPr="008805F1">
        <w:rPr>
          <w:rFonts w:ascii="Garamond" w:eastAsia="Times New Roman" w:hAnsi="Garamond" w:cs="Times New Roman"/>
          <w:color w:val="000000"/>
          <w:lang w:eastAsia="zh-CN"/>
        </w:rPr>
        <w:fldChar w:fldCharType="end"/>
      </w:r>
      <w:r w:rsidRPr="008805F1">
        <w:rPr>
          <w:rFonts w:ascii="Garamond" w:eastAsia="Times New Roman" w:hAnsi="Garamond" w:cs="Times New Roman"/>
          <w:color w:val="000000"/>
          <w:lang w:eastAsia="zh-CN"/>
        </w:rPr>
        <w:t xml:space="preserve"> memberikan penjelasan mengenai pengaruh negatif, diantaranya: </w:t>
      </w:r>
      <w:r w:rsidRPr="008805F1">
        <w:rPr>
          <w:rFonts w:ascii="Garamond" w:eastAsia="Times New Roman" w:hAnsi="Garamond" w:cs="Times New Roman"/>
          <w:color w:val="000000"/>
          <w:lang w:val="id-ID" w:eastAsia="zh-CN"/>
        </w:rPr>
        <w:t>Overreliance pada AI: Meskipun AI dapat menjadi alat yang berharga, ada risiko bahwa siswa mungkin menjadi terlalu bergantung padanya, mengabaikan metode tradisional dan interaksi manusia. Ketergantungan yang berlebihan ini dapat menghambat perkembangan pembelajaran, seperti komunikasi dan percakapan. Kehilangan Motivasi Intrinsik: Motivasi intrinsik, didorong oleh cinta belajar dan minat pribadi, sangat penting untuk keberhasilan belajar jangka panjang. Jika AI terlalu preskriptif atau mendominasi proses pembelajaran, itu mungkin mengurangi motivasi intrinsik siswa karena mereka merasa terdorong untuk mengikuti jalur yang telah ditentukan. Masalah Privasi Data: AI mengumpulkan sejumlah besar data tentang kebiasaan dan kemajuan belajar siswa. Kekhawatiran atas privasi dan keamanan data dapat menghalangi beberapa siswa untuk sepenuhnya terlibat dengan platform yang didukung AI, yang berpotensi memengaruhi motivasi mereka. Bias Algoritmik: Algoritma AI tidak kebal terhadap bias. Jika tidak dirancang dan dipantau dengan benar, mereka dapat melanggengkan stereotip atau mendukung kelompok tertentu, yang berpotensi menyebabkan demotivasi atau pelepasan di antara siswa yang terpinggirkan. Namun, melalui penelitian ini kami benar-benar memberikan tindakan penyeimbangan untuk implikasi AI baik positif maupun negatif, Balancing Act: Implikasi AI pada motivasi siswa adalah interaksi yang kompleks antara faktor positif dan negatif. Mencapai keseimbangan yang tepat antara AI dan interaksi manusia sangat penting. Guru dapat memainkan peran penting dalam memediasi keseimbangan ini, menawarkan bimbingan, dukungan, dan menumbuhkan rasa motivasi intrinsik yang tidak dapat diberikan oleh AI saja.</w:t>
      </w:r>
    </w:p>
    <w:p w14:paraId="08203545" w14:textId="71646AA1" w:rsidR="00995832" w:rsidRPr="008805F1" w:rsidRDefault="008805F1" w:rsidP="008805F1">
      <w:pPr>
        <w:pBdr>
          <w:top w:val="nil"/>
          <w:left w:val="nil"/>
          <w:bottom w:val="nil"/>
          <w:right w:val="nil"/>
          <w:between w:val="nil"/>
        </w:pBdr>
        <w:tabs>
          <w:tab w:val="left" w:pos="288"/>
        </w:tabs>
        <w:suppressAutoHyphens/>
        <w:spacing w:after="0"/>
        <w:jc w:val="both"/>
        <w:rPr>
          <w:rFonts w:ascii="Garamond" w:eastAsia="Times New Roman" w:hAnsi="Garamond" w:cs="Times New Roman"/>
          <w:color w:val="000000"/>
          <w:lang w:eastAsia="zh-CN"/>
        </w:rPr>
      </w:pPr>
      <w:r w:rsidRPr="008805F1">
        <w:rPr>
          <w:rFonts w:ascii="Garamond" w:eastAsia="Times New Roman" w:hAnsi="Garamond" w:cs="Times New Roman"/>
          <w:color w:val="000000"/>
          <w:lang w:val="id-ID" w:eastAsia="zh-CN"/>
        </w:rPr>
        <w:tab/>
      </w:r>
      <w:r w:rsidR="00FF6B7E">
        <w:rPr>
          <w:rFonts w:ascii="Garamond" w:eastAsia="Times New Roman" w:hAnsi="Garamond" w:cs="Times New Roman"/>
          <w:color w:val="000000"/>
          <w:lang w:val="id-ID" w:eastAsia="zh-CN"/>
        </w:rPr>
        <w:tab/>
      </w:r>
      <w:r w:rsidRPr="008805F1">
        <w:rPr>
          <w:rFonts w:ascii="Garamond" w:eastAsia="Times New Roman" w:hAnsi="Garamond" w:cs="Times New Roman"/>
          <w:color w:val="000000"/>
          <w:lang w:val="id-ID" w:eastAsia="zh-CN"/>
        </w:rPr>
        <w:t>AI memiliki implikasi signifikan terhadap motivasi siswa. Meskipun menawarkan banyak manfaat seperti personalisasi, umpan balik langsung, dan gamifikasi, itu juga menimbulkan kekhawatiran tentang ketergantungan yang berlebihan, hilangnya motivasi intrinsik, privasi data, dan bias. Kuncinya terletak pada pemanfaatan AI sebagai alat pelengkap dalam proses pembelajaran pendidikan daripada pengganti keterlibatan manusia. Dengan demikian, kita dapat memaksimalkan dampak positif AI pada motivasi sambil mengurangi potensi kelemahannya, memastikan bahwa siswa menerima pengalaman belajar yang menyeluruh dan memotivasi. Seiring teknologi terus berkembang, penelitian berkelanjutan dan implementasi yang bijaksana akan sangat penting dalam mengoptimalkan implikasi ini untuk kepentingan pelajar di seluruh dunia</w:t>
      </w:r>
      <w:r w:rsidRPr="008805F1">
        <w:rPr>
          <w:rFonts w:ascii="Garamond" w:eastAsia="Times New Roman" w:hAnsi="Garamond" w:cs="Times New Roman"/>
          <w:color w:val="000000"/>
          <w:lang w:eastAsia="zh-CN"/>
        </w:rPr>
        <w:t>.</w:t>
      </w:r>
    </w:p>
    <w:p w14:paraId="56A84E77" w14:textId="77777777" w:rsidR="00995832" w:rsidRPr="00C81D07" w:rsidRDefault="00995832" w:rsidP="00995832">
      <w:pPr>
        <w:spacing w:after="120" w:line="240" w:lineRule="auto"/>
        <w:ind w:firstLine="720"/>
        <w:rPr>
          <w:rFonts w:ascii="Garamond" w:hAnsi="Garamond" w:cs="Lucida Sans"/>
        </w:rPr>
      </w:pPr>
    </w:p>
    <w:p w14:paraId="11D70021" w14:textId="77777777" w:rsidR="00995832" w:rsidRPr="005F1B0A" w:rsidRDefault="00995832" w:rsidP="00D14BE6">
      <w:pPr>
        <w:pStyle w:val="Heading1"/>
        <w:spacing w:after="120" w:line="240" w:lineRule="auto"/>
        <w:jc w:val="left"/>
        <w:rPr>
          <w:rFonts w:ascii="Garamond" w:hAnsi="Garamond" w:cs="Lucida Sans"/>
          <w:b w:val="0"/>
          <w:color w:val="244061" w:themeColor="accent1" w:themeShade="80"/>
          <w:sz w:val="22"/>
          <w:szCs w:val="22"/>
        </w:rPr>
      </w:pPr>
      <w:r w:rsidRPr="005F1B0A">
        <w:rPr>
          <w:rFonts w:ascii="Garamond" w:hAnsi="Garamond" w:cs="Lucida Sans"/>
          <w:color w:val="244061" w:themeColor="accent1" w:themeShade="80"/>
          <w:sz w:val="22"/>
          <w:szCs w:val="22"/>
        </w:rPr>
        <w:t>KESIMPULAN</w:t>
      </w:r>
    </w:p>
    <w:p w14:paraId="002C9DC0" w14:textId="6012CE9F" w:rsidR="00995832" w:rsidRPr="00C81D07" w:rsidRDefault="008805F1" w:rsidP="00493205">
      <w:pPr>
        <w:spacing w:after="0"/>
        <w:ind w:firstLine="567"/>
        <w:jc w:val="both"/>
        <w:rPr>
          <w:rFonts w:ascii="Garamond" w:hAnsi="Garamond" w:cs="Lucida Sans"/>
          <w:bCs/>
        </w:rPr>
      </w:pPr>
      <w:r w:rsidRPr="008805F1">
        <w:rPr>
          <w:rFonts w:ascii="Garamond" w:hAnsi="Garamond" w:cs="Lucida Sans"/>
          <w:bCs/>
        </w:rPr>
        <w:t xml:space="preserve">Dalam lanskap pendidikan kontemporer, integrasi Artificial Intelligence (AI) ke dalam proses belajar mengajar di lassroom telah melahirkan banyak implikasi, baik positif maupun menantang, sehubungan dengan motivasi siswa. Penelitian ini telah menerangi beberapa takeaways kunci mengenai hubungan dinamis antara AI dan motivasi siswa. Mencapai keseimbangan antara AI dan interaksi manusia dalam interaksi kelas sebagai bagian dari proses belajar mengajar. Pendidik memainkan peran penting dalam memediasi keseimbangan ini, menawarkan bimbingan, dukungan, dan memelihara motivasi intrinsik. Dengan mengintegrasikan AI secara hati-hati sebagai alat pelengkap daripada pengganti keterlibatan manusia, kita dapat memaksimalkan dampak positifnya pada motivasi sambil mengurangi potensi kelemahan. Kesimpulannya, implikasi AI dalam proses pembelajaran untuk motivasi siswa beragam. Sementara AI menawarkan banyak manfaat, termasuk </w:t>
      </w:r>
      <w:r w:rsidRPr="008805F1">
        <w:rPr>
          <w:rFonts w:ascii="Garamond" w:hAnsi="Garamond" w:cs="Lucida Sans"/>
          <w:bCs/>
        </w:rPr>
        <w:lastRenderedPageBreak/>
        <w:t>personalisasi, umpan balik langsung, dan gamifikasi, secara bersamaan menimbulkan kekhawatiran tentang ketergantungan yang berlebihan, hilangnya motivasi intrinsik, privasi data, dan bias. Saat kita bergerak maju, penting untuk terus meneliti, bereksperimen, dan menyempurnakan implementasi AI di bidang pendidikan. Pendekatan yang bijaksana dan seimbang akan memungkinkan kami memanfaatkan potensi AI untuk meningkatkan motivasi siswa dan memberi mereka pengalaman belajar yang komprehensif dan memotivasi. Pada akhirnya, sinergi antara AI dan panduan manusia ini sangat menjanjikan untuk masa depan bidang pendidikan</w:t>
      </w:r>
      <w:r w:rsidR="00995832" w:rsidRPr="00C81D07">
        <w:rPr>
          <w:rFonts w:ascii="Garamond" w:hAnsi="Garamond" w:cs="Lucida Sans"/>
          <w:bCs/>
        </w:rPr>
        <w:t>.</w:t>
      </w:r>
    </w:p>
    <w:p w14:paraId="4AAC8539" w14:textId="77777777" w:rsidR="00995832" w:rsidRPr="00C81D07" w:rsidRDefault="00995832" w:rsidP="00995832">
      <w:pPr>
        <w:spacing w:after="120" w:line="240" w:lineRule="auto"/>
        <w:ind w:firstLine="709"/>
        <w:rPr>
          <w:rFonts w:ascii="Garamond" w:hAnsi="Garamond" w:cs="Lucida Sans"/>
          <w:bCs/>
        </w:rPr>
      </w:pPr>
    </w:p>
    <w:p w14:paraId="60F7B682" w14:textId="1A21705F" w:rsidR="00FE7A1F" w:rsidRPr="00FE7A1F" w:rsidRDefault="008640E2" w:rsidP="00FE7A1F">
      <w:pPr>
        <w:pStyle w:val="Heading1"/>
        <w:spacing w:after="120" w:line="240" w:lineRule="auto"/>
        <w:jc w:val="left"/>
        <w:rPr>
          <w:rFonts w:ascii="Garamond" w:hAnsi="Garamond" w:cs="Lucida Sans"/>
          <w:color w:val="244061" w:themeColor="accent1" w:themeShade="80"/>
          <w:sz w:val="22"/>
          <w:szCs w:val="22"/>
        </w:rPr>
      </w:pPr>
      <w:r>
        <w:rPr>
          <w:rFonts w:ascii="Garamond" w:hAnsi="Garamond" w:cs="Lucida Sans"/>
          <w:color w:val="244061" w:themeColor="accent1" w:themeShade="80"/>
          <w:sz w:val="22"/>
          <w:szCs w:val="22"/>
        </w:rPr>
        <w:t>DAFTAR PUSTAKA</w:t>
      </w:r>
    </w:p>
    <w:p w14:paraId="29486C8C" w14:textId="4FB991E5"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heme="minorHAnsi"/>
          <w:bCs/>
        </w:rPr>
        <w:fldChar w:fldCharType="begin" w:fldLock="1"/>
      </w:r>
      <w:r w:rsidRPr="00461C20">
        <w:rPr>
          <w:rFonts w:ascii="Garamond" w:hAnsi="Garamond" w:cstheme="minorHAnsi"/>
          <w:bCs/>
        </w:rPr>
        <w:instrText xml:space="preserve">ADDIN Mendeley Bibliography CSL_BIBLIOGRAPHY </w:instrText>
      </w:r>
      <w:r w:rsidRPr="00461C20">
        <w:rPr>
          <w:rFonts w:ascii="Garamond" w:hAnsi="Garamond" w:cstheme="minorHAnsi"/>
          <w:bCs/>
        </w:rPr>
        <w:fldChar w:fldCharType="separate"/>
      </w:r>
      <w:r w:rsidRPr="00461C20">
        <w:rPr>
          <w:rFonts w:ascii="Garamond" w:hAnsi="Garamond" w:cs="Times New Roman"/>
          <w:noProof/>
        </w:rPr>
        <w:t xml:space="preserve">Chatterjee, S., &amp; Bhattacharjee, K. K. (2020). Adoption of artificial intelligence in higher education: a quantitative analysis using structural equation modelling. </w:t>
      </w:r>
      <w:r w:rsidRPr="00461C20">
        <w:rPr>
          <w:rFonts w:ascii="Garamond" w:hAnsi="Garamond" w:cs="Times New Roman"/>
          <w:i/>
          <w:iCs/>
          <w:noProof/>
        </w:rPr>
        <w:t>Education and Information Technologies</w:t>
      </w:r>
      <w:r w:rsidRPr="00461C20">
        <w:rPr>
          <w:rFonts w:ascii="Garamond" w:hAnsi="Garamond" w:cs="Times New Roman"/>
          <w:noProof/>
        </w:rPr>
        <w:t xml:space="preserve">, </w:t>
      </w:r>
      <w:r w:rsidRPr="00461C20">
        <w:rPr>
          <w:rFonts w:ascii="Garamond" w:hAnsi="Garamond" w:cs="Times New Roman"/>
          <w:i/>
          <w:iCs/>
          <w:noProof/>
        </w:rPr>
        <w:t>25</w:t>
      </w:r>
      <w:r w:rsidRPr="00461C20">
        <w:rPr>
          <w:rFonts w:ascii="Garamond" w:hAnsi="Garamond" w:cs="Times New Roman"/>
          <w:noProof/>
        </w:rPr>
        <w:t>(5), 3443–3463. https://doi.org/10.1007/S10639-020-10159-7/TABLES/6</w:t>
      </w:r>
    </w:p>
    <w:p w14:paraId="5A78FE1D"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Chiu, T. K. F., &amp; Chai, C. S. (2020). Sustainable Curriculum Planning for Artificial Intelligence Education: A Self-Determination Theory Perspective. </w:t>
      </w:r>
      <w:r w:rsidRPr="00461C20">
        <w:rPr>
          <w:rFonts w:ascii="Garamond" w:hAnsi="Garamond" w:cs="Times New Roman"/>
          <w:i/>
          <w:iCs/>
          <w:noProof/>
        </w:rPr>
        <w:t>Sustainability 2020, Vol. 12, Page 5568</w:t>
      </w:r>
      <w:r w:rsidRPr="00461C20">
        <w:rPr>
          <w:rFonts w:ascii="Garamond" w:hAnsi="Garamond" w:cs="Times New Roman"/>
          <w:noProof/>
        </w:rPr>
        <w:t xml:space="preserve">, </w:t>
      </w:r>
      <w:r w:rsidRPr="00461C20">
        <w:rPr>
          <w:rFonts w:ascii="Garamond" w:hAnsi="Garamond" w:cs="Times New Roman"/>
          <w:i/>
          <w:iCs/>
          <w:noProof/>
        </w:rPr>
        <w:t>12</w:t>
      </w:r>
      <w:r w:rsidRPr="00461C20">
        <w:rPr>
          <w:rFonts w:ascii="Garamond" w:hAnsi="Garamond" w:cs="Times New Roman"/>
          <w:noProof/>
        </w:rPr>
        <w:t>(14), 5568. https://doi.org/10.3390/SU12145568</w:t>
      </w:r>
    </w:p>
    <w:p w14:paraId="6EB994C5"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Conijn, R., Kahr, P., &amp; Snijders, C. (2023). The Effects of Explanations in Automated Essay Scoring Systems on Student Trust and Motivation. </w:t>
      </w:r>
      <w:r w:rsidRPr="00461C20">
        <w:rPr>
          <w:rFonts w:ascii="Garamond" w:hAnsi="Garamond" w:cs="Times New Roman"/>
          <w:i/>
          <w:iCs/>
          <w:noProof/>
        </w:rPr>
        <w:t>Journal of Learning Analytics</w:t>
      </w:r>
      <w:r w:rsidRPr="00461C20">
        <w:rPr>
          <w:rFonts w:ascii="Garamond" w:hAnsi="Garamond" w:cs="Times New Roman"/>
          <w:noProof/>
        </w:rPr>
        <w:t xml:space="preserve">, </w:t>
      </w:r>
      <w:r w:rsidRPr="00461C20">
        <w:rPr>
          <w:rFonts w:ascii="Garamond" w:hAnsi="Garamond" w:cs="Times New Roman"/>
          <w:i/>
          <w:iCs/>
          <w:noProof/>
        </w:rPr>
        <w:t>10</w:t>
      </w:r>
      <w:r w:rsidRPr="00461C20">
        <w:rPr>
          <w:rFonts w:ascii="Garamond" w:hAnsi="Garamond" w:cs="Times New Roman"/>
          <w:noProof/>
        </w:rPr>
        <w:t>(1), 37–53. https://doi.org/10.18608/jla.2023.7801</w:t>
      </w:r>
    </w:p>
    <w:p w14:paraId="608D3B88"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Edwards, C., Edwards, A., Stoll, B., Lin, X., &amp; Massey, N. (2019). Evaluations of an artificial intelligence instructor’s voice: Social Identity Theory in human-robot interactions. </w:t>
      </w:r>
      <w:r w:rsidRPr="00461C20">
        <w:rPr>
          <w:rFonts w:ascii="Garamond" w:hAnsi="Garamond" w:cs="Times New Roman"/>
          <w:i/>
          <w:iCs/>
          <w:noProof/>
        </w:rPr>
        <w:t>Computers in Human Behavior</w:t>
      </w:r>
      <w:r w:rsidRPr="00461C20">
        <w:rPr>
          <w:rFonts w:ascii="Garamond" w:hAnsi="Garamond" w:cs="Times New Roman"/>
          <w:noProof/>
        </w:rPr>
        <w:t xml:space="preserve">, </w:t>
      </w:r>
      <w:r w:rsidRPr="00461C20">
        <w:rPr>
          <w:rFonts w:ascii="Garamond" w:hAnsi="Garamond" w:cs="Times New Roman"/>
          <w:i/>
          <w:iCs/>
          <w:noProof/>
        </w:rPr>
        <w:t>90</w:t>
      </w:r>
      <w:r w:rsidRPr="00461C20">
        <w:rPr>
          <w:rFonts w:ascii="Garamond" w:hAnsi="Garamond" w:cs="Times New Roman"/>
          <w:noProof/>
        </w:rPr>
        <w:t>, 357–362. https://doi.org/10.1016/J.CHB.2018.08.027</w:t>
      </w:r>
    </w:p>
    <w:p w14:paraId="2531B4E3"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Fernández-Martínez, C., Hernán-Losada, I., &amp; Fernández, A. (2021). Early Introduction of AI in Spanish Middle Schools. A Motivational Study. </w:t>
      </w:r>
      <w:r w:rsidRPr="00461C20">
        <w:rPr>
          <w:rFonts w:ascii="Garamond" w:hAnsi="Garamond" w:cs="Times New Roman"/>
          <w:i/>
          <w:iCs/>
          <w:noProof/>
        </w:rPr>
        <w:t>KI - Kunstliche Intelligenz</w:t>
      </w:r>
      <w:r w:rsidRPr="00461C20">
        <w:rPr>
          <w:rFonts w:ascii="Garamond" w:hAnsi="Garamond" w:cs="Times New Roman"/>
          <w:noProof/>
        </w:rPr>
        <w:t xml:space="preserve">, </w:t>
      </w:r>
      <w:r w:rsidRPr="00461C20">
        <w:rPr>
          <w:rFonts w:ascii="Garamond" w:hAnsi="Garamond" w:cs="Times New Roman"/>
          <w:i/>
          <w:iCs/>
          <w:noProof/>
        </w:rPr>
        <w:t>35</w:t>
      </w:r>
      <w:r w:rsidRPr="00461C20">
        <w:rPr>
          <w:rFonts w:ascii="Garamond" w:hAnsi="Garamond" w:cs="Times New Roman"/>
          <w:noProof/>
        </w:rPr>
        <w:t>(2), 163–170. https://doi.org/10.1007/S13218-021-00735-5/TABLES/3</w:t>
      </w:r>
    </w:p>
    <w:p w14:paraId="7EF53231"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Fitria, T. N. (2021). Grammarly as AI-powered English Writing Assistant: Students’ Alternative for Writing English. </w:t>
      </w:r>
      <w:r w:rsidRPr="00461C20">
        <w:rPr>
          <w:rFonts w:ascii="Garamond" w:hAnsi="Garamond" w:cs="Times New Roman"/>
          <w:i/>
          <w:iCs/>
          <w:noProof/>
        </w:rPr>
        <w:t>Metathesis: Journal of English Language, Literature, and Teaching</w:t>
      </w:r>
      <w:r w:rsidRPr="00461C20">
        <w:rPr>
          <w:rFonts w:ascii="Garamond" w:hAnsi="Garamond" w:cs="Times New Roman"/>
          <w:noProof/>
        </w:rPr>
        <w:t xml:space="preserve">, </w:t>
      </w:r>
      <w:r w:rsidRPr="00461C20">
        <w:rPr>
          <w:rFonts w:ascii="Garamond" w:hAnsi="Garamond" w:cs="Times New Roman"/>
          <w:i/>
          <w:iCs/>
          <w:noProof/>
        </w:rPr>
        <w:t>5</w:t>
      </w:r>
      <w:r w:rsidRPr="00461C20">
        <w:rPr>
          <w:rFonts w:ascii="Garamond" w:hAnsi="Garamond" w:cs="Times New Roman"/>
          <w:noProof/>
        </w:rPr>
        <w:t>(1), 65. https://doi.org/10.31002/METATHESIS.V5I1.3519</w:t>
      </w:r>
    </w:p>
    <w:p w14:paraId="1F9377D1"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Guo, K., Zhong, Y., Li, D., &amp; Chu, S. K. W. (2023). Effects of chatbot-assisted in-class debates on students’ argumentation skills and task motivation. </w:t>
      </w:r>
      <w:r w:rsidRPr="00461C20">
        <w:rPr>
          <w:rFonts w:ascii="Garamond" w:hAnsi="Garamond" w:cs="Times New Roman"/>
          <w:i/>
          <w:iCs/>
          <w:noProof/>
        </w:rPr>
        <w:t>Computers &amp; Education</w:t>
      </w:r>
      <w:r w:rsidRPr="00461C20">
        <w:rPr>
          <w:rFonts w:ascii="Garamond" w:hAnsi="Garamond" w:cs="Times New Roman"/>
          <w:noProof/>
        </w:rPr>
        <w:t xml:space="preserve">, </w:t>
      </w:r>
      <w:r w:rsidRPr="00461C20">
        <w:rPr>
          <w:rFonts w:ascii="Garamond" w:hAnsi="Garamond" w:cs="Times New Roman"/>
          <w:i/>
          <w:iCs/>
          <w:noProof/>
        </w:rPr>
        <w:t>203</w:t>
      </w:r>
      <w:r w:rsidRPr="00461C20">
        <w:rPr>
          <w:rFonts w:ascii="Garamond" w:hAnsi="Garamond" w:cs="Times New Roman"/>
          <w:noProof/>
        </w:rPr>
        <w:t>, 104862. https://doi.org/10.1016/J.COMPEDU.2023.104862</w:t>
      </w:r>
    </w:p>
    <w:p w14:paraId="776843B2"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H., S. M. (2018). How to use artificial intelligence in the English language learning classroom. </w:t>
      </w:r>
      <w:r w:rsidRPr="00461C20">
        <w:rPr>
          <w:rFonts w:ascii="Garamond" w:hAnsi="Garamond" w:cs="Times New Roman"/>
          <w:i/>
          <w:iCs/>
          <w:noProof/>
        </w:rPr>
        <w:t>Indian Journal of Public Health Research &amp; Development</w:t>
      </w:r>
      <w:r w:rsidRPr="00461C20">
        <w:rPr>
          <w:rFonts w:ascii="Garamond" w:hAnsi="Garamond" w:cs="Times New Roman"/>
          <w:noProof/>
        </w:rPr>
        <w:t xml:space="preserve">, </w:t>
      </w:r>
      <w:r w:rsidRPr="00461C20">
        <w:rPr>
          <w:rFonts w:ascii="Garamond" w:hAnsi="Garamond" w:cs="Times New Roman"/>
          <w:i/>
          <w:iCs/>
          <w:noProof/>
        </w:rPr>
        <w:t>9</w:t>
      </w:r>
      <w:r w:rsidRPr="00461C20">
        <w:rPr>
          <w:rFonts w:ascii="Garamond" w:hAnsi="Garamond" w:cs="Times New Roman"/>
          <w:noProof/>
        </w:rPr>
        <w:t>(9), 557–561.</w:t>
      </w:r>
    </w:p>
    <w:p w14:paraId="75F9FB66"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Klamma, R., de Lange, P., Neumann, A. T., Hensen, B., Kravcik, M., Wang, X., &amp; Kuzilek, J. (2020). Scaling mentoring support with distributed artificial intelligence. </w:t>
      </w:r>
      <w:r w:rsidRPr="00461C20">
        <w:rPr>
          <w:rFonts w:ascii="Garamond" w:hAnsi="Garamond" w:cs="Times New Roman"/>
          <w:i/>
          <w:iCs/>
          <w:noProof/>
        </w:rPr>
        <w:t>Lecture Notes in Computer Science (Including Subseries Lecture Notes in Artificial Intelligence and Lecture Notes in Bioinformatics)</w:t>
      </w:r>
      <w:r w:rsidRPr="00461C20">
        <w:rPr>
          <w:rFonts w:ascii="Garamond" w:hAnsi="Garamond" w:cs="Times New Roman"/>
          <w:noProof/>
        </w:rPr>
        <w:t xml:space="preserve">, </w:t>
      </w:r>
      <w:r w:rsidRPr="00461C20">
        <w:rPr>
          <w:rFonts w:ascii="Garamond" w:hAnsi="Garamond" w:cs="Times New Roman"/>
          <w:i/>
          <w:iCs/>
          <w:noProof/>
        </w:rPr>
        <w:t>12149 LNCS</w:t>
      </w:r>
      <w:r w:rsidRPr="00461C20">
        <w:rPr>
          <w:rFonts w:ascii="Garamond" w:hAnsi="Garamond" w:cs="Times New Roman"/>
          <w:noProof/>
        </w:rPr>
        <w:t>, 38–44. https://doi.org/10.1007/978-3-030-49663-0_6</w:t>
      </w:r>
    </w:p>
    <w:p w14:paraId="122E5C16"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Koraishi, O. (2023). Teaching English in the Age of AI: Embracing ChatGPT to Optimize EFL Materials and Assessment. </w:t>
      </w:r>
      <w:r w:rsidRPr="00461C20">
        <w:rPr>
          <w:rFonts w:ascii="Garamond" w:hAnsi="Garamond" w:cs="Times New Roman"/>
          <w:i/>
          <w:iCs/>
          <w:noProof/>
        </w:rPr>
        <w:t>Language Education and Technology</w:t>
      </w:r>
      <w:r w:rsidRPr="00461C20">
        <w:rPr>
          <w:rFonts w:ascii="Garamond" w:hAnsi="Garamond" w:cs="Times New Roman"/>
          <w:noProof/>
        </w:rPr>
        <w:t xml:space="preserve">, </w:t>
      </w:r>
      <w:r w:rsidRPr="00461C20">
        <w:rPr>
          <w:rFonts w:ascii="Garamond" w:hAnsi="Garamond" w:cs="Times New Roman"/>
          <w:i/>
          <w:iCs/>
          <w:noProof/>
        </w:rPr>
        <w:t>3</w:t>
      </w:r>
      <w:r w:rsidRPr="00461C20">
        <w:rPr>
          <w:rFonts w:ascii="Garamond" w:hAnsi="Garamond" w:cs="Times New Roman"/>
          <w:noProof/>
        </w:rPr>
        <w:t>(1). https://langedutech.com/letjournal/index.php/let/article/view/48</w:t>
      </w:r>
    </w:p>
    <w:p w14:paraId="178F7E5A"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Lai, C.-L. (2021). Exploring University Students’Preferences for AI-Assisted Learning Environment. </w:t>
      </w:r>
      <w:r w:rsidRPr="00461C20">
        <w:rPr>
          <w:rFonts w:ascii="Garamond" w:hAnsi="Garamond" w:cs="Times New Roman"/>
          <w:i/>
          <w:iCs/>
          <w:noProof/>
        </w:rPr>
        <w:t>Educational Technology &amp; Society</w:t>
      </w:r>
      <w:r w:rsidRPr="00461C20">
        <w:rPr>
          <w:rFonts w:ascii="Garamond" w:hAnsi="Garamond" w:cs="Times New Roman"/>
          <w:noProof/>
        </w:rPr>
        <w:t xml:space="preserve">, </w:t>
      </w:r>
      <w:r w:rsidRPr="00461C20">
        <w:rPr>
          <w:rFonts w:ascii="Garamond" w:hAnsi="Garamond" w:cs="Times New Roman"/>
          <w:i/>
          <w:iCs/>
          <w:noProof/>
        </w:rPr>
        <w:t>24</w:t>
      </w:r>
      <w:r w:rsidRPr="00461C20">
        <w:rPr>
          <w:rFonts w:ascii="Garamond" w:hAnsi="Garamond" w:cs="Times New Roman"/>
          <w:noProof/>
        </w:rPr>
        <w:t>(4), 1–15.</w:t>
      </w:r>
    </w:p>
    <w:p w14:paraId="76EF0BAC"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Lee, Y. F., Hwang, G. J., &amp; Chen, P. Y. (2022). Impacts of an AI-based chabot on college students’ after-class review, academic performance, self-efficacy, learning attitude, and motivation. </w:t>
      </w:r>
      <w:r w:rsidRPr="00461C20">
        <w:rPr>
          <w:rFonts w:ascii="Garamond" w:hAnsi="Garamond" w:cs="Times New Roman"/>
          <w:i/>
          <w:iCs/>
          <w:noProof/>
        </w:rPr>
        <w:t>Educational Technology Research and Development</w:t>
      </w:r>
      <w:r w:rsidRPr="00461C20">
        <w:rPr>
          <w:rFonts w:ascii="Garamond" w:hAnsi="Garamond" w:cs="Times New Roman"/>
          <w:noProof/>
        </w:rPr>
        <w:t xml:space="preserve">, </w:t>
      </w:r>
      <w:r w:rsidRPr="00461C20">
        <w:rPr>
          <w:rFonts w:ascii="Garamond" w:hAnsi="Garamond" w:cs="Times New Roman"/>
          <w:i/>
          <w:iCs/>
          <w:noProof/>
        </w:rPr>
        <w:t>70</w:t>
      </w:r>
      <w:r w:rsidRPr="00461C20">
        <w:rPr>
          <w:rFonts w:ascii="Garamond" w:hAnsi="Garamond" w:cs="Times New Roman"/>
          <w:noProof/>
        </w:rPr>
        <w:t>(5), 1843–1865. https://doi.org/10.1007/S11423-022-10142-8/METRICS</w:t>
      </w:r>
    </w:p>
    <w:p w14:paraId="4B9FC28A" w14:textId="7B79BEF2"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Lengkoan, F., Andries, F. A., &amp; Tatipang, D. P. (2022). </w:t>
      </w:r>
      <w:r w:rsidR="00461C20" w:rsidRPr="00461C20">
        <w:rPr>
          <w:rFonts w:ascii="Garamond" w:hAnsi="Garamond" w:cs="Times New Roman"/>
          <w:noProof/>
        </w:rPr>
        <w:t xml:space="preserve">A Study </w:t>
      </w:r>
      <w:r w:rsidR="00461C20">
        <w:rPr>
          <w:rFonts w:ascii="Garamond" w:hAnsi="Garamond" w:cs="Times New Roman"/>
          <w:noProof/>
        </w:rPr>
        <w:t>o</w:t>
      </w:r>
      <w:r w:rsidR="00461C20" w:rsidRPr="00461C20">
        <w:rPr>
          <w:rFonts w:ascii="Garamond" w:hAnsi="Garamond" w:cs="Times New Roman"/>
          <w:noProof/>
        </w:rPr>
        <w:t xml:space="preserve">n Listening Problems Faced By Students </w:t>
      </w:r>
      <w:r w:rsidR="00461C20">
        <w:rPr>
          <w:rFonts w:ascii="Garamond" w:hAnsi="Garamond" w:cs="Times New Roman"/>
          <w:noProof/>
        </w:rPr>
        <w:t>o</w:t>
      </w:r>
      <w:r w:rsidR="00461C20" w:rsidRPr="00461C20">
        <w:rPr>
          <w:rFonts w:ascii="Garamond" w:hAnsi="Garamond" w:cs="Times New Roman"/>
          <w:noProof/>
        </w:rPr>
        <w:t>f Higher Education.</w:t>
      </w:r>
      <w:r w:rsidRPr="00461C20">
        <w:rPr>
          <w:rFonts w:ascii="Garamond" w:hAnsi="Garamond" w:cs="Times New Roman"/>
          <w:noProof/>
        </w:rPr>
        <w:t xml:space="preserve"> </w:t>
      </w:r>
      <w:r w:rsidRPr="00461C20">
        <w:rPr>
          <w:rFonts w:ascii="Garamond" w:hAnsi="Garamond" w:cs="Times New Roman"/>
          <w:i/>
          <w:iCs/>
          <w:noProof/>
        </w:rPr>
        <w:t>Globish: An English-Indonesian Journal for English, Education, and Culture</w:t>
      </w:r>
      <w:r w:rsidRPr="00461C20">
        <w:rPr>
          <w:rFonts w:ascii="Garamond" w:hAnsi="Garamond" w:cs="Times New Roman"/>
          <w:noProof/>
        </w:rPr>
        <w:t xml:space="preserve">, </w:t>
      </w:r>
      <w:r w:rsidRPr="00461C20">
        <w:rPr>
          <w:rFonts w:ascii="Garamond" w:hAnsi="Garamond" w:cs="Times New Roman"/>
          <w:i/>
          <w:iCs/>
          <w:noProof/>
        </w:rPr>
        <w:t>11</w:t>
      </w:r>
      <w:r w:rsidRPr="00461C20">
        <w:rPr>
          <w:rFonts w:ascii="Garamond" w:hAnsi="Garamond" w:cs="Times New Roman"/>
          <w:noProof/>
        </w:rPr>
        <w:t>(1), 41–50. https://doi.org/10.31000/GLOBISH.V11I1.5106</w:t>
      </w:r>
    </w:p>
    <w:p w14:paraId="4AF7081E"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Lengkoan, F., &amp; Rombepajung, P. (2022). Teachers’ Perception of Online Learning in The Pandemic Era. </w:t>
      </w:r>
      <w:r w:rsidRPr="00461C20">
        <w:rPr>
          <w:rFonts w:ascii="Garamond" w:hAnsi="Garamond" w:cs="Times New Roman"/>
          <w:i/>
          <w:iCs/>
          <w:noProof/>
        </w:rPr>
        <w:lastRenderedPageBreak/>
        <w:t>Jurnal Lingua Idea</w:t>
      </w:r>
      <w:r w:rsidRPr="00461C20">
        <w:rPr>
          <w:rFonts w:ascii="Garamond" w:hAnsi="Garamond" w:cs="Times New Roman"/>
          <w:noProof/>
        </w:rPr>
        <w:t xml:space="preserve">, </w:t>
      </w:r>
      <w:r w:rsidRPr="00461C20">
        <w:rPr>
          <w:rFonts w:ascii="Garamond" w:hAnsi="Garamond" w:cs="Times New Roman"/>
          <w:i/>
          <w:iCs/>
          <w:noProof/>
        </w:rPr>
        <w:t>13</w:t>
      </w:r>
      <w:r w:rsidRPr="00461C20">
        <w:rPr>
          <w:rFonts w:ascii="Garamond" w:hAnsi="Garamond" w:cs="Times New Roman"/>
          <w:noProof/>
        </w:rPr>
        <w:t>(1). https://doi.org/10.20884/1.jli.2022.13.1.4301</w:t>
      </w:r>
    </w:p>
    <w:p w14:paraId="01FF3487"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Liando, N. V. F., Dallyono, R., Tatipang, D. P., &amp; Lengkoan, F. (2023). Among English, Indonesian and local language: Translanguaging practices in an Indonesian EFL classroom. </w:t>
      </w:r>
      <w:r w:rsidRPr="00461C20">
        <w:rPr>
          <w:rFonts w:ascii="Garamond" w:hAnsi="Garamond" w:cs="Times New Roman"/>
          <w:i/>
          <w:iCs/>
          <w:noProof/>
        </w:rPr>
        <w:t>Indonesian Journal of Applied Linguistics</w:t>
      </w:r>
      <w:r w:rsidRPr="00461C20">
        <w:rPr>
          <w:rFonts w:ascii="Garamond" w:hAnsi="Garamond" w:cs="Times New Roman"/>
          <w:noProof/>
        </w:rPr>
        <w:t xml:space="preserve">, </w:t>
      </w:r>
      <w:r w:rsidRPr="00461C20">
        <w:rPr>
          <w:rFonts w:ascii="Garamond" w:hAnsi="Garamond" w:cs="Times New Roman"/>
          <w:i/>
          <w:iCs/>
          <w:noProof/>
        </w:rPr>
        <w:t>13</w:t>
      </w:r>
      <w:r w:rsidRPr="00461C20">
        <w:rPr>
          <w:rFonts w:ascii="Garamond" w:hAnsi="Garamond" w:cs="Times New Roman"/>
          <w:noProof/>
        </w:rPr>
        <w:t>(1). https://doi.org/10.17509/IJAL.V13I1.58270</w:t>
      </w:r>
    </w:p>
    <w:p w14:paraId="368ED96A"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Liando, N. V. F., Rorimpandey, R. S., Kumayas, T. A., &amp; Tatipang, D. P. (2022). International Students’ Motivation and Self-Confidence in Learning Indonesian. </w:t>
      </w:r>
      <w:r w:rsidRPr="00461C20">
        <w:rPr>
          <w:rFonts w:ascii="Garamond" w:hAnsi="Garamond" w:cs="Times New Roman"/>
          <w:i/>
          <w:iCs/>
          <w:noProof/>
        </w:rPr>
        <w:t>Hong Kong Journal of Social Sciences</w:t>
      </w:r>
      <w:r w:rsidRPr="00461C20">
        <w:rPr>
          <w:rFonts w:ascii="Garamond" w:hAnsi="Garamond" w:cs="Times New Roman"/>
          <w:noProof/>
        </w:rPr>
        <w:t xml:space="preserve">, </w:t>
      </w:r>
      <w:r w:rsidRPr="00461C20">
        <w:rPr>
          <w:rFonts w:ascii="Garamond" w:hAnsi="Garamond" w:cs="Times New Roman"/>
          <w:i/>
          <w:iCs/>
          <w:noProof/>
        </w:rPr>
        <w:t>60</w:t>
      </w:r>
      <w:r w:rsidRPr="00461C20">
        <w:rPr>
          <w:rFonts w:ascii="Garamond" w:hAnsi="Garamond" w:cs="Times New Roman"/>
          <w:noProof/>
        </w:rPr>
        <w:t>. http://www.hkjoss.com/index.php/journal/article/view/613</w:t>
      </w:r>
    </w:p>
    <w:p w14:paraId="21377E18"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Liando, N. V. F., Tatipang, D. P., &amp; Lengkoan, F. (2022). A Study of Translanguaging Practices in an EFL Classroom in Indonesian Context: A Multilingual Concept. </w:t>
      </w:r>
      <w:r w:rsidRPr="00461C20">
        <w:rPr>
          <w:rFonts w:ascii="Garamond" w:hAnsi="Garamond" w:cs="Times New Roman"/>
          <w:i/>
          <w:iCs/>
          <w:noProof/>
        </w:rPr>
        <w:t>Research and Innovation in Language Learning</w:t>
      </w:r>
      <w:r w:rsidRPr="00461C20">
        <w:rPr>
          <w:rFonts w:ascii="Garamond" w:hAnsi="Garamond" w:cs="Times New Roman"/>
          <w:noProof/>
        </w:rPr>
        <w:t xml:space="preserve">, </w:t>
      </w:r>
      <w:r w:rsidRPr="00461C20">
        <w:rPr>
          <w:rFonts w:ascii="Garamond" w:hAnsi="Garamond" w:cs="Times New Roman"/>
          <w:i/>
          <w:iCs/>
          <w:noProof/>
        </w:rPr>
        <w:t>5</w:t>
      </w:r>
      <w:r w:rsidRPr="00461C20">
        <w:rPr>
          <w:rFonts w:ascii="Garamond" w:hAnsi="Garamond" w:cs="Times New Roman"/>
          <w:noProof/>
        </w:rPr>
        <w:t>(2), 167–185. https://doi.org/10.33603/RILL.V5I2.6986</w:t>
      </w:r>
    </w:p>
    <w:p w14:paraId="68ED2D3E"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Liando, N. V. F., Tatipang, D. P., &amp; Wuntu, C. N. (2023). TPACK Framework Towards 21st Century’s Pre-Service English Teachers: Opportunities and Challenges in Application. </w:t>
      </w:r>
      <w:r w:rsidRPr="00461C20">
        <w:rPr>
          <w:rFonts w:ascii="Garamond" w:hAnsi="Garamond" w:cs="Times New Roman"/>
          <w:i/>
          <w:iCs/>
          <w:noProof/>
        </w:rPr>
        <w:t>Edumaspul: Jurnal Pendidikan</w:t>
      </w:r>
      <w:r w:rsidRPr="00461C20">
        <w:rPr>
          <w:rFonts w:ascii="Garamond" w:hAnsi="Garamond" w:cs="Times New Roman"/>
          <w:noProof/>
        </w:rPr>
        <w:t xml:space="preserve">, </w:t>
      </w:r>
      <w:r w:rsidRPr="00461C20">
        <w:rPr>
          <w:rFonts w:ascii="Garamond" w:hAnsi="Garamond" w:cs="Times New Roman"/>
          <w:i/>
          <w:iCs/>
          <w:noProof/>
        </w:rPr>
        <w:t>7</w:t>
      </w:r>
      <w:r w:rsidRPr="00461C20">
        <w:rPr>
          <w:rFonts w:ascii="Garamond" w:hAnsi="Garamond" w:cs="Times New Roman"/>
          <w:noProof/>
        </w:rPr>
        <w:t>(1), 1799–1815. https://doi.org/10.33487/EDUMASPUL.V7I1.6479</w:t>
      </w:r>
    </w:p>
    <w:p w14:paraId="6DED8B26" w14:textId="493F39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Lumentut, Y. L., &amp; Lengkoan, F. (2021). </w:t>
      </w:r>
      <w:r w:rsidR="00461C20" w:rsidRPr="00461C20">
        <w:rPr>
          <w:rFonts w:ascii="Garamond" w:hAnsi="Garamond" w:cs="Times New Roman"/>
          <w:noProof/>
        </w:rPr>
        <w:t xml:space="preserve">The Relationships </w:t>
      </w:r>
      <w:r w:rsidR="00461C20">
        <w:rPr>
          <w:rFonts w:ascii="Garamond" w:hAnsi="Garamond" w:cs="Times New Roman"/>
          <w:noProof/>
        </w:rPr>
        <w:t>o</w:t>
      </w:r>
      <w:r w:rsidR="00461C20" w:rsidRPr="00461C20">
        <w:rPr>
          <w:rFonts w:ascii="Garamond" w:hAnsi="Garamond" w:cs="Times New Roman"/>
          <w:noProof/>
        </w:rPr>
        <w:t>f</w:t>
      </w:r>
      <w:r w:rsidR="00461C20">
        <w:rPr>
          <w:rFonts w:ascii="Garamond" w:hAnsi="Garamond" w:cs="Times New Roman"/>
          <w:noProof/>
        </w:rPr>
        <w:t xml:space="preserve"> </w:t>
      </w:r>
      <w:r w:rsidR="00461C20" w:rsidRPr="00461C20">
        <w:rPr>
          <w:rFonts w:ascii="Garamond" w:hAnsi="Garamond" w:cs="Times New Roman"/>
          <w:noProof/>
        </w:rPr>
        <w:t xml:space="preserve">psycholinguistics In Acquisition </w:t>
      </w:r>
      <w:r w:rsidR="00461C20">
        <w:rPr>
          <w:rFonts w:ascii="Garamond" w:hAnsi="Garamond" w:cs="Times New Roman"/>
          <w:noProof/>
        </w:rPr>
        <w:t>a</w:t>
      </w:r>
      <w:r w:rsidR="00461C20" w:rsidRPr="00461C20">
        <w:rPr>
          <w:rFonts w:ascii="Garamond" w:hAnsi="Garamond" w:cs="Times New Roman"/>
          <w:noProof/>
        </w:rPr>
        <w:t>nd Language Learning</w:t>
      </w:r>
      <w:r w:rsidRPr="00461C20">
        <w:rPr>
          <w:rFonts w:ascii="Garamond" w:hAnsi="Garamond" w:cs="Times New Roman"/>
          <w:noProof/>
        </w:rPr>
        <w:t xml:space="preserve">. </w:t>
      </w:r>
      <w:r w:rsidRPr="00461C20">
        <w:rPr>
          <w:rFonts w:ascii="Garamond" w:hAnsi="Garamond" w:cs="Times New Roman"/>
          <w:i/>
          <w:iCs/>
          <w:noProof/>
        </w:rPr>
        <w:t>E-Clue Journal of English, Culture, Language, Literature,and Education</w:t>
      </w:r>
      <w:r w:rsidRPr="00461C20">
        <w:rPr>
          <w:rFonts w:ascii="Garamond" w:hAnsi="Garamond" w:cs="Times New Roman"/>
          <w:noProof/>
        </w:rPr>
        <w:t xml:space="preserve">, </w:t>
      </w:r>
      <w:r w:rsidRPr="00461C20">
        <w:rPr>
          <w:rFonts w:ascii="Garamond" w:hAnsi="Garamond" w:cs="Times New Roman"/>
          <w:i/>
          <w:iCs/>
          <w:noProof/>
        </w:rPr>
        <w:t>9</w:t>
      </w:r>
      <w:r w:rsidRPr="00461C20">
        <w:rPr>
          <w:rFonts w:ascii="Garamond" w:hAnsi="Garamond" w:cs="Times New Roman"/>
          <w:noProof/>
        </w:rPr>
        <w:t>(1), 17–29. https://doi.org/10.53682/eclue.v9i1.1894</w:t>
      </w:r>
    </w:p>
    <w:p w14:paraId="4D0012A9"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Martín-Núñez, J. L., Ar, A. Y., Fernández, R. P., Abbas, A., &amp; Radovanović, D. (2023). Does intrinsic motivation mediate perceived artificial intelligence (AI) learning and computational thinking of students during the COVID-19 pandemic? </w:t>
      </w:r>
      <w:r w:rsidRPr="00461C20">
        <w:rPr>
          <w:rFonts w:ascii="Garamond" w:hAnsi="Garamond" w:cs="Times New Roman"/>
          <w:i/>
          <w:iCs/>
          <w:noProof/>
        </w:rPr>
        <w:t>Computers and Education: Artificial Intelligence</w:t>
      </w:r>
      <w:r w:rsidRPr="00461C20">
        <w:rPr>
          <w:rFonts w:ascii="Garamond" w:hAnsi="Garamond" w:cs="Times New Roman"/>
          <w:noProof/>
        </w:rPr>
        <w:t xml:space="preserve">, </w:t>
      </w:r>
      <w:r w:rsidRPr="00461C20">
        <w:rPr>
          <w:rFonts w:ascii="Garamond" w:hAnsi="Garamond" w:cs="Times New Roman"/>
          <w:i/>
          <w:iCs/>
          <w:noProof/>
        </w:rPr>
        <w:t>4</w:t>
      </w:r>
      <w:r w:rsidRPr="00461C20">
        <w:rPr>
          <w:rFonts w:ascii="Garamond" w:hAnsi="Garamond" w:cs="Times New Roman"/>
          <w:noProof/>
        </w:rPr>
        <w:t>, 100128. https://doi.org/10.1016/J.CAEAI.2023.100128</w:t>
      </w:r>
    </w:p>
    <w:p w14:paraId="16D8BFEE"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Ouyang, F., Zheng, L., &amp; Jiao, P. (2022). Artificial intelligence in online higher education: A systematic review of empirical research from 2011 to 2020. </w:t>
      </w:r>
      <w:r w:rsidRPr="00461C20">
        <w:rPr>
          <w:rFonts w:ascii="Garamond" w:hAnsi="Garamond" w:cs="Times New Roman"/>
          <w:i/>
          <w:iCs/>
          <w:noProof/>
        </w:rPr>
        <w:t>Education and Information Technologies</w:t>
      </w:r>
      <w:r w:rsidRPr="00461C20">
        <w:rPr>
          <w:rFonts w:ascii="Garamond" w:hAnsi="Garamond" w:cs="Times New Roman"/>
          <w:noProof/>
        </w:rPr>
        <w:t xml:space="preserve">, </w:t>
      </w:r>
      <w:r w:rsidRPr="00461C20">
        <w:rPr>
          <w:rFonts w:ascii="Garamond" w:hAnsi="Garamond" w:cs="Times New Roman"/>
          <w:i/>
          <w:iCs/>
          <w:noProof/>
        </w:rPr>
        <w:t>27</w:t>
      </w:r>
      <w:r w:rsidRPr="00461C20">
        <w:rPr>
          <w:rFonts w:ascii="Garamond" w:hAnsi="Garamond" w:cs="Times New Roman"/>
          <w:noProof/>
        </w:rPr>
        <w:t>(6), 7893–7925. https://doi.org/10.1007/S10639-022-10925-9/TABLES/4</w:t>
      </w:r>
    </w:p>
    <w:p w14:paraId="1447BB78"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Pataranutaporn, P., Leong, J., Danry, V., Lawson, A. P., Maes, P., &amp; Sra, M. (2022). AI-Generated Virtual Instructors Based on Liked or Admired People Can Improve Motivation and Foster Positive Emotions for Learning. </w:t>
      </w:r>
      <w:r w:rsidRPr="00461C20">
        <w:rPr>
          <w:rFonts w:ascii="Garamond" w:hAnsi="Garamond" w:cs="Times New Roman"/>
          <w:i/>
          <w:iCs/>
          <w:noProof/>
        </w:rPr>
        <w:t>Proceedings - Frontiers in Education Conference, FIE</w:t>
      </w:r>
      <w:r w:rsidRPr="00461C20">
        <w:rPr>
          <w:rFonts w:ascii="Garamond" w:hAnsi="Garamond" w:cs="Times New Roman"/>
          <w:noProof/>
        </w:rPr>
        <w:t xml:space="preserve">, </w:t>
      </w:r>
      <w:r w:rsidRPr="00461C20">
        <w:rPr>
          <w:rFonts w:ascii="Garamond" w:hAnsi="Garamond" w:cs="Times New Roman"/>
          <w:i/>
          <w:iCs/>
          <w:noProof/>
        </w:rPr>
        <w:t>2022</w:t>
      </w:r>
      <w:r w:rsidRPr="00461C20">
        <w:rPr>
          <w:rFonts w:ascii="Garamond" w:hAnsi="Garamond" w:cs="Times New Roman"/>
          <w:noProof/>
        </w:rPr>
        <w:t>-</w:t>
      </w:r>
      <w:r w:rsidRPr="00461C20">
        <w:rPr>
          <w:rFonts w:ascii="Garamond" w:hAnsi="Garamond" w:cs="Times New Roman"/>
          <w:i/>
          <w:iCs/>
          <w:noProof/>
        </w:rPr>
        <w:t>October</w:t>
      </w:r>
      <w:r w:rsidRPr="00461C20">
        <w:rPr>
          <w:rFonts w:ascii="Garamond" w:hAnsi="Garamond" w:cs="Times New Roman"/>
          <w:noProof/>
        </w:rPr>
        <w:t>. https://doi.org/10.1109/FIE56618.2022.9962478</w:t>
      </w:r>
    </w:p>
    <w:p w14:paraId="1EEFB24D"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Pelenkahu, N., Ali, M. I., &amp; Tatipang, D. P. (2023). </w:t>
      </w:r>
      <w:r w:rsidRPr="00461C20">
        <w:rPr>
          <w:rFonts w:ascii="Garamond" w:hAnsi="Garamond" w:cs="Times New Roman"/>
          <w:i/>
          <w:iCs/>
          <w:noProof/>
        </w:rPr>
        <w:t>Curriculum Development</w:t>
      </w:r>
      <w:r w:rsidRPr="00461C20">
        <w:rPr>
          <w:rFonts w:ascii="Garamond" w:hAnsi="Garamond" w:cs="Times New Roman"/>
          <w:noProof/>
        </w:rPr>
        <w:t>. Penerbit Lakeisha.</w:t>
      </w:r>
    </w:p>
    <w:p w14:paraId="6C98074A"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Pu, S., Ahmad, N. A., Khambari, M. N. M., Yap, N. K., &amp; Ahrari, S. (2021). Improvement of Pre-Service Teachers’ Practical Knowledge and Motivation about Artificial Intelligence through a Service-learning-based Module in Guizhou, China: A Quasi-Experimental Study. </w:t>
      </w:r>
      <w:r w:rsidRPr="00461C20">
        <w:rPr>
          <w:rFonts w:ascii="Garamond" w:hAnsi="Garamond" w:cs="Times New Roman"/>
          <w:i/>
          <w:iCs/>
          <w:noProof/>
        </w:rPr>
        <w:t>Asian Journal of University Education</w:t>
      </w:r>
      <w:r w:rsidRPr="00461C20">
        <w:rPr>
          <w:rFonts w:ascii="Garamond" w:hAnsi="Garamond" w:cs="Times New Roman"/>
          <w:noProof/>
        </w:rPr>
        <w:t xml:space="preserve">, </w:t>
      </w:r>
      <w:r w:rsidRPr="00461C20">
        <w:rPr>
          <w:rFonts w:ascii="Garamond" w:hAnsi="Garamond" w:cs="Times New Roman"/>
          <w:i/>
          <w:iCs/>
          <w:noProof/>
        </w:rPr>
        <w:t>17</w:t>
      </w:r>
      <w:r w:rsidRPr="00461C20">
        <w:rPr>
          <w:rFonts w:ascii="Garamond" w:hAnsi="Garamond" w:cs="Times New Roman"/>
          <w:noProof/>
        </w:rPr>
        <w:t>(3), 203–219. https://doi.org/10.24191/AJUE.V17I3.14499</w:t>
      </w:r>
    </w:p>
    <w:p w14:paraId="1F5CA17D"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Qawaqneh, H., Ahmad, F. B., &amp; Alawamreh. (2023). The Impact of Artificial Intelligence-Based Virtual Laboratories on Developing Students. </w:t>
      </w:r>
      <w:r w:rsidRPr="00461C20">
        <w:rPr>
          <w:rFonts w:ascii="Garamond" w:hAnsi="Garamond" w:cs="Times New Roman"/>
          <w:i/>
          <w:iCs/>
          <w:noProof/>
        </w:rPr>
        <w:t>Motivation Towards Learning Mathematics. International Journal of Emerging Technologies in Learning (IJET)</w:t>
      </w:r>
      <w:r w:rsidRPr="00461C20">
        <w:rPr>
          <w:rFonts w:ascii="Garamond" w:hAnsi="Garamond" w:cs="Times New Roman"/>
          <w:noProof/>
        </w:rPr>
        <w:t xml:space="preserve">, </w:t>
      </w:r>
      <w:r w:rsidRPr="00461C20">
        <w:rPr>
          <w:rFonts w:ascii="Garamond" w:hAnsi="Garamond" w:cs="Times New Roman"/>
          <w:i/>
          <w:iCs/>
          <w:noProof/>
        </w:rPr>
        <w:t>18</w:t>
      </w:r>
      <w:r w:rsidRPr="00461C20">
        <w:rPr>
          <w:rFonts w:ascii="Garamond" w:hAnsi="Garamond" w:cs="Times New Roman"/>
          <w:noProof/>
        </w:rPr>
        <w:t>(14), 1863–0383. https://doi.org/10.3991/ijet.v18i14.39873</w:t>
      </w:r>
    </w:p>
    <w:p w14:paraId="3FABF8C6"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Rodrigues, L., Palomino, P. T., Toda, A. M., Klock, A. C. T., Pessoa, M., Pereira, F. D., Oliveira, E. H. T., Oliveira, D. F., Cristea, A. I., Gasparini, I., &amp; Isotani, S. (2023). How Personalization Affects Motivation in Gamified Review Assessments. </w:t>
      </w:r>
      <w:r w:rsidRPr="00461C20">
        <w:rPr>
          <w:rFonts w:ascii="Garamond" w:hAnsi="Garamond" w:cs="Times New Roman"/>
          <w:i/>
          <w:iCs/>
          <w:noProof/>
        </w:rPr>
        <w:t>International Journal of Artificial Intelligence in Education</w:t>
      </w:r>
      <w:r w:rsidRPr="00461C20">
        <w:rPr>
          <w:rFonts w:ascii="Garamond" w:hAnsi="Garamond" w:cs="Times New Roman"/>
          <w:noProof/>
        </w:rPr>
        <w:t>, 1–38. https://doi.org/10.1007/S40593-022-00326-X/TABLES/8</w:t>
      </w:r>
    </w:p>
    <w:p w14:paraId="43739EE5"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Sandu, N., &amp; Gide, E. (2019). Adoption of AI-chatbots to enhance student learning experience in higher education in india. </w:t>
      </w:r>
      <w:r w:rsidRPr="00461C20">
        <w:rPr>
          <w:rFonts w:ascii="Garamond" w:hAnsi="Garamond" w:cs="Times New Roman"/>
          <w:i/>
          <w:iCs/>
          <w:noProof/>
        </w:rPr>
        <w:t>2019 18th International Conference on Information Technology Based Higher Education and Training, ITHET 2019</w:t>
      </w:r>
      <w:r w:rsidRPr="00461C20">
        <w:rPr>
          <w:rFonts w:ascii="Garamond" w:hAnsi="Garamond" w:cs="Times New Roman"/>
          <w:noProof/>
        </w:rPr>
        <w:t>. https://doi.org/10.1109/ITHET46829.2019.8937382</w:t>
      </w:r>
    </w:p>
    <w:p w14:paraId="45A37E4C"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Sun, Z., Anbarasan, M., &amp; Praveen Kumar, D. (2021). Design of online intelligent English teaching platform based on artificial intelligence techniques. </w:t>
      </w:r>
      <w:r w:rsidRPr="00461C20">
        <w:rPr>
          <w:rFonts w:ascii="Garamond" w:hAnsi="Garamond" w:cs="Times New Roman"/>
          <w:i/>
          <w:iCs/>
          <w:noProof/>
        </w:rPr>
        <w:t>Computational Intelligence</w:t>
      </w:r>
      <w:r w:rsidRPr="00461C20">
        <w:rPr>
          <w:rFonts w:ascii="Garamond" w:hAnsi="Garamond" w:cs="Times New Roman"/>
          <w:noProof/>
        </w:rPr>
        <w:t xml:space="preserve">, </w:t>
      </w:r>
      <w:r w:rsidRPr="00461C20">
        <w:rPr>
          <w:rFonts w:ascii="Garamond" w:hAnsi="Garamond" w:cs="Times New Roman"/>
          <w:i/>
          <w:iCs/>
          <w:noProof/>
        </w:rPr>
        <w:t>37</w:t>
      </w:r>
      <w:r w:rsidRPr="00461C20">
        <w:rPr>
          <w:rFonts w:ascii="Garamond" w:hAnsi="Garamond" w:cs="Times New Roman"/>
          <w:noProof/>
        </w:rPr>
        <w:t>(3), 1166–1180. https://doi.org/10.1111/COIN.12351</w:t>
      </w:r>
    </w:p>
    <w:p w14:paraId="2C3111E9"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Tatipang, D. P., Manuas, M. J., Wuntu, C. N., Rorintulus, O. A., &amp; Lengkoan, F. (2022). EFL Students’ Perceptions of the Effective English Teacher Characteristics. </w:t>
      </w:r>
      <w:r w:rsidRPr="00461C20">
        <w:rPr>
          <w:rFonts w:ascii="Garamond" w:hAnsi="Garamond" w:cs="Times New Roman"/>
          <w:i/>
          <w:iCs/>
          <w:noProof/>
        </w:rPr>
        <w:t>Jurnal Pendidikan Bahasa Inggris Undiksha</w:t>
      </w:r>
      <w:r w:rsidRPr="00461C20">
        <w:rPr>
          <w:rFonts w:ascii="Garamond" w:hAnsi="Garamond" w:cs="Times New Roman"/>
          <w:noProof/>
        </w:rPr>
        <w:t xml:space="preserve">, </w:t>
      </w:r>
      <w:r w:rsidRPr="00461C20">
        <w:rPr>
          <w:rFonts w:ascii="Garamond" w:hAnsi="Garamond" w:cs="Times New Roman"/>
          <w:i/>
          <w:iCs/>
          <w:noProof/>
        </w:rPr>
        <w:t>10</w:t>
      </w:r>
      <w:r w:rsidRPr="00461C20">
        <w:rPr>
          <w:rFonts w:ascii="Garamond" w:hAnsi="Garamond" w:cs="Times New Roman"/>
          <w:noProof/>
        </w:rPr>
        <w:t>(1), 23–30. https://doi.org/10.23887/jpbi.v10i1.4</w:t>
      </w:r>
    </w:p>
    <w:p w14:paraId="7188EB7D"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lastRenderedPageBreak/>
        <w:t xml:space="preserve">Tsz, D., Ng, K., Kai, S., &amp; Chu, W. (2021). Motivating Students to Learn AI through Social Networking Sites: A Case Study in Hong Kong. </w:t>
      </w:r>
      <w:r w:rsidRPr="00461C20">
        <w:rPr>
          <w:rFonts w:ascii="Garamond" w:hAnsi="Garamond" w:cs="Times New Roman"/>
          <w:i/>
          <w:iCs/>
          <w:noProof/>
        </w:rPr>
        <w:t>Online Learning</w:t>
      </w:r>
      <w:r w:rsidRPr="00461C20">
        <w:rPr>
          <w:rFonts w:ascii="Garamond" w:hAnsi="Garamond" w:cs="Times New Roman"/>
          <w:noProof/>
        </w:rPr>
        <w:t xml:space="preserve">, </w:t>
      </w:r>
      <w:r w:rsidRPr="00461C20">
        <w:rPr>
          <w:rFonts w:ascii="Garamond" w:hAnsi="Garamond" w:cs="Times New Roman"/>
          <w:i/>
          <w:iCs/>
          <w:noProof/>
        </w:rPr>
        <w:t>25</w:t>
      </w:r>
      <w:r w:rsidRPr="00461C20">
        <w:rPr>
          <w:rFonts w:ascii="Garamond" w:hAnsi="Garamond" w:cs="Times New Roman"/>
          <w:noProof/>
        </w:rPr>
        <w:t>(1), 195–208. https://doi.org/10.24059/olj.v25i1.2454</w:t>
      </w:r>
    </w:p>
    <w:p w14:paraId="2CBEFE11"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Wang, R. (2019). Research on Artificial Intelligence Promoting English Learning Change. </w:t>
      </w:r>
      <w:r w:rsidRPr="00461C20">
        <w:rPr>
          <w:rFonts w:ascii="Garamond" w:hAnsi="Garamond" w:cs="Times New Roman"/>
          <w:i/>
          <w:iCs/>
          <w:noProof/>
        </w:rPr>
        <w:t>Proceedings of the 3rd International Conference on Economics and Management, Education, Humanities and Social Sciences (EMEHSS 2019)</w:t>
      </w:r>
      <w:r w:rsidRPr="00461C20">
        <w:rPr>
          <w:rFonts w:ascii="Garamond" w:hAnsi="Garamond" w:cs="Times New Roman"/>
          <w:noProof/>
        </w:rPr>
        <w:t>, 392–395. https://doi.org/10.2991/EMEHSS-19.2019.79</w:t>
      </w:r>
    </w:p>
    <w:p w14:paraId="36259C22"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Wang, X. (2021). College english teaching innovation under artificial intelligence. </w:t>
      </w:r>
      <w:r w:rsidRPr="00461C20">
        <w:rPr>
          <w:rFonts w:ascii="Garamond" w:hAnsi="Garamond" w:cs="Times New Roman"/>
          <w:i/>
          <w:iCs/>
          <w:noProof/>
        </w:rPr>
        <w:t>ACM International Conference Proceeding Series</w:t>
      </w:r>
      <w:r w:rsidRPr="00461C20">
        <w:rPr>
          <w:rFonts w:ascii="Garamond" w:hAnsi="Garamond" w:cs="Times New Roman"/>
          <w:noProof/>
        </w:rPr>
        <w:t>. https://doi.org/10.1145/3465631.3465844</w:t>
      </w:r>
    </w:p>
    <w:p w14:paraId="5BE3828A"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Wang, Y. Y., &amp; Wang, Y. S. (2019). Development and validation of an artificial intelligence anxiety scale: an initial application in predicting motivated learning behavior. </w:t>
      </w:r>
      <w:r w:rsidRPr="00461C20">
        <w:rPr>
          <w:rFonts w:ascii="Garamond" w:hAnsi="Garamond" w:cs="Times New Roman"/>
          <w:i/>
          <w:iCs/>
          <w:noProof/>
        </w:rPr>
        <w:t>Interactive Learning Environments</w:t>
      </w:r>
      <w:r w:rsidRPr="00461C20">
        <w:rPr>
          <w:rFonts w:ascii="Garamond" w:hAnsi="Garamond" w:cs="Times New Roman"/>
          <w:noProof/>
        </w:rPr>
        <w:t xml:space="preserve">, </w:t>
      </w:r>
      <w:r w:rsidRPr="00461C20">
        <w:rPr>
          <w:rFonts w:ascii="Garamond" w:hAnsi="Garamond" w:cs="Times New Roman"/>
          <w:i/>
          <w:iCs/>
          <w:noProof/>
        </w:rPr>
        <w:t>30</w:t>
      </w:r>
      <w:r w:rsidRPr="00461C20">
        <w:rPr>
          <w:rFonts w:ascii="Garamond" w:hAnsi="Garamond" w:cs="Times New Roman"/>
          <w:noProof/>
        </w:rPr>
        <w:t>(4), 619–634. https://doi.org/10.1080/10494820.2019.1674887</w:t>
      </w:r>
    </w:p>
    <w:p w14:paraId="4213DF32"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Wu, C. H., Liu, C. H., &amp; Huang, Y. M. (2022). The exploration of continuous learning intention in STEAM education through attitude, motivation, and cognitive load. </w:t>
      </w:r>
      <w:r w:rsidRPr="00461C20">
        <w:rPr>
          <w:rFonts w:ascii="Garamond" w:hAnsi="Garamond" w:cs="Times New Roman"/>
          <w:i/>
          <w:iCs/>
          <w:noProof/>
        </w:rPr>
        <w:t>International Journal of STEM Education</w:t>
      </w:r>
      <w:r w:rsidRPr="00461C20">
        <w:rPr>
          <w:rFonts w:ascii="Garamond" w:hAnsi="Garamond" w:cs="Times New Roman"/>
          <w:noProof/>
        </w:rPr>
        <w:t xml:space="preserve">, </w:t>
      </w:r>
      <w:r w:rsidRPr="00461C20">
        <w:rPr>
          <w:rFonts w:ascii="Garamond" w:hAnsi="Garamond" w:cs="Times New Roman"/>
          <w:i/>
          <w:iCs/>
          <w:noProof/>
        </w:rPr>
        <w:t>9</w:t>
      </w:r>
      <w:r w:rsidRPr="00461C20">
        <w:rPr>
          <w:rFonts w:ascii="Garamond" w:hAnsi="Garamond" w:cs="Times New Roman"/>
          <w:noProof/>
        </w:rPr>
        <w:t>(1), 1–22. https://doi.org/10.1186/S40594-022-00346-Y/FIGURES/8</w:t>
      </w:r>
    </w:p>
    <w:p w14:paraId="0F664CB2"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Xia, Q., Chiu, T. K. F., &amp; Chai, C. S. (2022). The moderating effects of gender and need satisfaction on self-regulated learning through Artificial Intelligence (AI). </w:t>
      </w:r>
      <w:r w:rsidRPr="00461C20">
        <w:rPr>
          <w:rFonts w:ascii="Garamond" w:hAnsi="Garamond" w:cs="Times New Roman"/>
          <w:i/>
          <w:iCs/>
          <w:noProof/>
        </w:rPr>
        <w:t>Education and Information Technologies</w:t>
      </w:r>
      <w:r w:rsidRPr="00461C20">
        <w:rPr>
          <w:rFonts w:ascii="Garamond" w:hAnsi="Garamond" w:cs="Times New Roman"/>
          <w:noProof/>
        </w:rPr>
        <w:t xml:space="preserve">, </w:t>
      </w:r>
      <w:r w:rsidRPr="00461C20">
        <w:rPr>
          <w:rFonts w:ascii="Garamond" w:hAnsi="Garamond" w:cs="Times New Roman"/>
          <w:i/>
          <w:iCs/>
          <w:noProof/>
        </w:rPr>
        <w:t>28</w:t>
      </w:r>
      <w:r w:rsidRPr="00461C20">
        <w:rPr>
          <w:rFonts w:ascii="Garamond" w:hAnsi="Garamond" w:cs="Times New Roman"/>
          <w:noProof/>
        </w:rPr>
        <w:t>(7), 8691–8713. https://doi.org/10.1007/S10639-022-11547-X/METRICS</w:t>
      </w:r>
    </w:p>
    <w:p w14:paraId="6298FFBC"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Xu, B., &amp; Margevica-Grinberga, I. (2021). A Discourse on Innovation of English Teaching in China from the Perspective of Artificial Intelligence. </w:t>
      </w:r>
      <w:r w:rsidRPr="00461C20">
        <w:rPr>
          <w:rFonts w:ascii="Garamond" w:hAnsi="Garamond" w:cs="Times New Roman"/>
          <w:i/>
          <w:iCs/>
          <w:noProof/>
        </w:rPr>
        <w:t>Cypriot Journal of Educational Sciences</w:t>
      </w:r>
      <w:r w:rsidRPr="00461C20">
        <w:rPr>
          <w:rFonts w:ascii="Garamond" w:hAnsi="Garamond" w:cs="Times New Roman"/>
          <w:noProof/>
        </w:rPr>
        <w:t xml:space="preserve">, </w:t>
      </w:r>
      <w:r w:rsidRPr="00461C20">
        <w:rPr>
          <w:rFonts w:ascii="Garamond" w:hAnsi="Garamond" w:cs="Times New Roman"/>
          <w:i/>
          <w:iCs/>
          <w:noProof/>
        </w:rPr>
        <w:t>16</w:t>
      </w:r>
      <w:r w:rsidRPr="00461C20">
        <w:rPr>
          <w:rFonts w:ascii="Garamond" w:hAnsi="Garamond" w:cs="Times New Roman"/>
          <w:noProof/>
        </w:rPr>
        <w:t>(5), 2313–2323. https://doi.org/10.18844/cjes.v16i5.6347</w:t>
      </w:r>
    </w:p>
    <w:p w14:paraId="2297BC8B"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Yan, S., &amp; Yang, Y. (2021). Education Informatization 2.0 in China: Motivation, Framework, and Vision. </w:t>
      </w:r>
      <w:r w:rsidRPr="00461C20">
        <w:rPr>
          <w:rFonts w:ascii="Garamond" w:hAnsi="Garamond" w:cs="Times New Roman"/>
          <w:i/>
          <w:iCs/>
          <w:noProof/>
        </w:rPr>
        <w:t>ECNU Review of Education</w:t>
      </w:r>
      <w:r w:rsidRPr="00461C20">
        <w:rPr>
          <w:rFonts w:ascii="Garamond" w:hAnsi="Garamond" w:cs="Times New Roman"/>
          <w:noProof/>
        </w:rPr>
        <w:t xml:space="preserve">, </w:t>
      </w:r>
      <w:r w:rsidRPr="00461C20">
        <w:rPr>
          <w:rFonts w:ascii="Garamond" w:hAnsi="Garamond" w:cs="Times New Roman"/>
          <w:i/>
          <w:iCs/>
          <w:noProof/>
        </w:rPr>
        <w:t>4</w:t>
      </w:r>
      <w:r w:rsidRPr="00461C20">
        <w:rPr>
          <w:rFonts w:ascii="Garamond" w:hAnsi="Garamond" w:cs="Times New Roman"/>
          <w:noProof/>
        </w:rPr>
        <w:t>(2), 410–428. https://doi.org/10.1177/2096531120944929/ASSET/IMAGES/LARGE/10.1177_2096531120944929-FIG1.JPEG</w:t>
      </w:r>
    </w:p>
    <w:p w14:paraId="3228F3E4"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Yang, S. J. H., Ogata, H., Matsui, T., &amp; Chen, N. S. (2021). Human-centered artificial intelligence in education: Seeing the invisible through the visible. </w:t>
      </w:r>
      <w:r w:rsidRPr="00461C20">
        <w:rPr>
          <w:rFonts w:ascii="Garamond" w:hAnsi="Garamond" w:cs="Times New Roman"/>
          <w:i/>
          <w:iCs/>
          <w:noProof/>
        </w:rPr>
        <w:t>Computers and Education: Artificial Intelligence</w:t>
      </w:r>
      <w:r w:rsidRPr="00461C20">
        <w:rPr>
          <w:rFonts w:ascii="Garamond" w:hAnsi="Garamond" w:cs="Times New Roman"/>
          <w:noProof/>
        </w:rPr>
        <w:t xml:space="preserve">, </w:t>
      </w:r>
      <w:r w:rsidRPr="00461C20">
        <w:rPr>
          <w:rFonts w:ascii="Garamond" w:hAnsi="Garamond" w:cs="Times New Roman"/>
          <w:i/>
          <w:iCs/>
          <w:noProof/>
        </w:rPr>
        <w:t>2</w:t>
      </w:r>
      <w:r w:rsidRPr="00461C20">
        <w:rPr>
          <w:rFonts w:ascii="Garamond" w:hAnsi="Garamond" w:cs="Times New Roman"/>
          <w:noProof/>
        </w:rPr>
        <w:t>, 100008. https://doi.org/10.1016/J.CAEAI.2021.100008</w:t>
      </w:r>
    </w:p>
    <w:p w14:paraId="68215209"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Yilmaz, R., &amp; Karaoglan Yilmaz, F. G. (2023). The effect of generative artificial intelligence (AI)-based tool use on students’ computational thinking skills, programming self-efficacy and motivation. </w:t>
      </w:r>
      <w:r w:rsidRPr="00461C20">
        <w:rPr>
          <w:rFonts w:ascii="Garamond" w:hAnsi="Garamond" w:cs="Times New Roman"/>
          <w:i/>
          <w:iCs/>
          <w:noProof/>
        </w:rPr>
        <w:t>Computers and Education: Artificial Intelligence</w:t>
      </w:r>
      <w:r w:rsidRPr="00461C20">
        <w:rPr>
          <w:rFonts w:ascii="Garamond" w:hAnsi="Garamond" w:cs="Times New Roman"/>
          <w:noProof/>
        </w:rPr>
        <w:t xml:space="preserve">, </w:t>
      </w:r>
      <w:r w:rsidRPr="00461C20">
        <w:rPr>
          <w:rFonts w:ascii="Garamond" w:hAnsi="Garamond" w:cs="Times New Roman"/>
          <w:i/>
          <w:iCs/>
          <w:noProof/>
        </w:rPr>
        <w:t>4</w:t>
      </w:r>
      <w:r w:rsidRPr="00461C20">
        <w:rPr>
          <w:rFonts w:ascii="Garamond" w:hAnsi="Garamond" w:cs="Times New Roman"/>
          <w:noProof/>
        </w:rPr>
        <w:t>, 100147. https://doi.org/10.1016/J.CAEAI.2023.100147</w:t>
      </w:r>
    </w:p>
    <w:p w14:paraId="615505CC"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Zawacki-Richter, O., Marín, V. I., Bond, M., &amp; Gouverneur, F. (2019). Systematic review of research on artificial intelligence applications in higher education – where are the educators? </w:t>
      </w:r>
      <w:r w:rsidRPr="00461C20">
        <w:rPr>
          <w:rFonts w:ascii="Garamond" w:hAnsi="Garamond" w:cs="Times New Roman"/>
          <w:i/>
          <w:iCs/>
          <w:noProof/>
        </w:rPr>
        <w:t>International Journal of Educational Technology in Higher Education 2019 16:1</w:t>
      </w:r>
      <w:r w:rsidRPr="00461C20">
        <w:rPr>
          <w:rFonts w:ascii="Garamond" w:hAnsi="Garamond" w:cs="Times New Roman"/>
          <w:noProof/>
        </w:rPr>
        <w:t xml:space="preserve">, </w:t>
      </w:r>
      <w:r w:rsidRPr="00461C20">
        <w:rPr>
          <w:rFonts w:ascii="Garamond" w:hAnsi="Garamond" w:cs="Times New Roman"/>
          <w:i/>
          <w:iCs/>
          <w:noProof/>
        </w:rPr>
        <w:t>16</w:t>
      </w:r>
      <w:r w:rsidRPr="00461C20">
        <w:rPr>
          <w:rFonts w:ascii="Garamond" w:hAnsi="Garamond" w:cs="Times New Roman"/>
          <w:noProof/>
        </w:rPr>
        <w:t>(1), 1–27. https://doi.org/10.1186/S41239-019-0171-0</w:t>
      </w:r>
    </w:p>
    <w:p w14:paraId="15CC5DD8"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cs="Times New Roman"/>
          <w:noProof/>
        </w:rPr>
      </w:pPr>
      <w:r w:rsidRPr="00461C20">
        <w:rPr>
          <w:rFonts w:ascii="Garamond" w:hAnsi="Garamond" w:cs="Times New Roman"/>
          <w:noProof/>
        </w:rPr>
        <w:t xml:space="preserve">Zhai, X., Chu, X., Chai, C. S., Jong, M. S. Y., Istenic, A., Spector, M., Liu, J. B., Yuan, J., &amp; Li, Y. (2021). A Review of Artificial Intelligence (AI) in Education from 2010 to 2020. </w:t>
      </w:r>
      <w:r w:rsidRPr="00461C20">
        <w:rPr>
          <w:rFonts w:ascii="Garamond" w:hAnsi="Garamond" w:cs="Times New Roman"/>
          <w:i/>
          <w:iCs/>
          <w:noProof/>
        </w:rPr>
        <w:t>Complexity</w:t>
      </w:r>
      <w:r w:rsidRPr="00461C20">
        <w:rPr>
          <w:rFonts w:ascii="Garamond" w:hAnsi="Garamond" w:cs="Times New Roman"/>
          <w:noProof/>
        </w:rPr>
        <w:t xml:space="preserve">, </w:t>
      </w:r>
      <w:r w:rsidRPr="00461C20">
        <w:rPr>
          <w:rFonts w:ascii="Garamond" w:hAnsi="Garamond" w:cs="Times New Roman"/>
          <w:i/>
          <w:iCs/>
          <w:noProof/>
        </w:rPr>
        <w:t>2021</w:t>
      </w:r>
      <w:r w:rsidRPr="00461C20">
        <w:rPr>
          <w:rFonts w:ascii="Garamond" w:hAnsi="Garamond" w:cs="Times New Roman"/>
          <w:noProof/>
        </w:rPr>
        <w:t>. https://doi.org/10.1155/2021/8812542</w:t>
      </w:r>
    </w:p>
    <w:p w14:paraId="5C38EF2C" w14:textId="77777777" w:rsidR="008805F1" w:rsidRPr="00461C20" w:rsidRDefault="008805F1" w:rsidP="00461C20">
      <w:pPr>
        <w:widowControl w:val="0"/>
        <w:autoSpaceDE w:val="0"/>
        <w:autoSpaceDN w:val="0"/>
        <w:adjustRightInd w:val="0"/>
        <w:spacing w:after="120" w:line="240" w:lineRule="auto"/>
        <w:ind w:left="480" w:hanging="480"/>
        <w:jc w:val="both"/>
        <w:rPr>
          <w:rFonts w:ascii="Garamond" w:hAnsi="Garamond"/>
          <w:noProof/>
        </w:rPr>
      </w:pPr>
      <w:r w:rsidRPr="00461C20">
        <w:rPr>
          <w:rFonts w:ascii="Garamond" w:hAnsi="Garamond" w:cs="Times New Roman"/>
          <w:noProof/>
        </w:rPr>
        <w:t xml:space="preserve">Zhang, H., Lee, I., Ali, S., DiPaola, D., Cheng, Y., &amp; Breazeal, C. (2022). Integrating Ethics and Career Futures with Technical Learning to Promote AI Literacy for Middle School Students: An Exploratory Study. </w:t>
      </w:r>
      <w:r w:rsidRPr="00461C20">
        <w:rPr>
          <w:rFonts w:ascii="Garamond" w:hAnsi="Garamond" w:cs="Times New Roman"/>
          <w:i/>
          <w:iCs/>
          <w:noProof/>
        </w:rPr>
        <w:t>International Journal of Artificial Intelligence in Education</w:t>
      </w:r>
      <w:r w:rsidRPr="00461C20">
        <w:rPr>
          <w:rFonts w:ascii="Garamond" w:hAnsi="Garamond" w:cs="Times New Roman"/>
          <w:noProof/>
        </w:rPr>
        <w:t xml:space="preserve">, </w:t>
      </w:r>
      <w:r w:rsidRPr="00461C20">
        <w:rPr>
          <w:rFonts w:ascii="Garamond" w:hAnsi="Garamond" w:cs="Times New Roman"/>
          <w:i/>
          <w:iCs/>
          <w:noProof/>
        </w:rPr>
        <w:t>33</w:t>
      </w:r>
      <w:r w:rsidRPr="00461C20">
        <w:rPr>
          <w:rFonts w:ascii="Garamond" w:hAnsi="Garamond" w:cs="Times New Roman"/>
          <w:noProof/>
        </w:rPr>
        <w:t>(2), 290–324. https://doi.org/10.1007/S40593-022-00293-3/TABLES/5</w:t>
      </w:r>
    </w:p>
    <w:p w14:paraId="347C6CF0" w14:textId="56492913" w:rsidR="004F02C1" w:rsidRPr="00C81D07" w:rsidRDefault="008805F1" w:rsidP="00461C20">
      <w:pPr>
        <w:widowControl w:val="0"/>
        <w:autoSpaceDE w:val="0"/>
        <w:autoSpaceDN w:val="0"/>
        <w:adjustRightInd w:val="0"/>
        <w:spacing w:after="120" w:line="240" w:lineRule="auto"/>
        <w:ind w:left="709" w:hanging="709"/>
        <w:jc w:val="both"/>
        <w:rPr>
          <w:rFonts w:ascii="Garamond" w:hAnsi="Garamond" w:cstheme="minorHAnsi"/>
          <w:bCs/>
          <w:sz w:val="24"/>
          <w:szCs w:val="24"/>
        </w:rPr>
      </w:pPr>
      <w:r w:rsidRPr="00461C20">
        <w:rPr>
          <w:rFonts w:ascii="Garamond" w:hAnsi="Garamond" w:cstheme="minorHAnsi"/>
          <w:bCs/>
        </w:rPr>
        <w:fldChar w:fldCharType="end"/>
      </w:r>
    </w:p>
    <w:sectPr w:rsidR="004F02C1" w:rsidRPr="00C81D07" w:rsidSect="00AD74F5">
      <w:headerReference w:type="even" r:id="rId9"/>
      <w:headerReference w:type="default" r:id="rId10"/>
      <w:footerReference w:type="even" r:id="rId11"/>
      <w:footerReference w:type="default" r:id="rId12"/>
      <w:headerReference w:type="first" r:id="rId13"/>
      <w:footerReference w:type="first" r:id="rId14"/>
      <w:pgSz w:w="11907" w:h="16840" w:code="9"/>
      <w:pgMar w:top="1418" w:right="1134" w:bottom="1418" w:left="1418" w:header="851" w:footer="567" w:gutter="0"/>
      <w:pgNumType w:start="146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DA547" w14:textId="77777777" w:rsidR="00E5752A" w:rsidRDefault="00E5752A" w:rsidP="009E52D6">
      <w:pPr>
        <w:spacing w:after="0" w:line="240" w:lineRule="auto"/>
      </w:pPr>
      <w:r>
        <w:separator/>
      </w:r>
    </w:p>
  </w:endnote>
  <w:endnote w:type="continuationSeparator" w:id="0">
    <w:p w14:paraId="376887CD" w14:textId="77777777" w:rsidR="00E5752A" w:rsidRDefault="00E5752A" w:rsidP="009E5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176F35" w:rsidRPr="004F02C1" w14:paraId="23F5C4FC" w14:textId="77777777" w:rsidTr="0059477B">
      <w:tc>
        <w:tcPr>
          <w:tcW w:w="9571" w:type="dxa"/>
          <w:tcBorders>
            <w:top w:val="single" w:sz="6" w:space="0" w:color="244061" w:themeColor="accent1" w:themeShade="80"/>
          </w:tcBorders>
        </w:tcPr>
        <w:p w14:paraId="2016C0F9" w14:textId="77777777" w:rsidR="00176F35" w:rsidRPr="00C81D07" w:rsidRDefault="00147232" w:rsidP="00176F35">
          <w:pPr>
            <w:pStyle w:val="Footer"/>
            <w:spacing w:before="120" w:after="120"/>
            <w:jc w:val="center"/>
            <w:rPr>
              <w:rFonts w:ascii="Garamond" w:hAnsi="Garamond"/>
            </w:rPr>
          </w:pPr>
          <w:r w:rsidRPr="00C81D07">
            <w:rPr>
              <w:rFonts w:ascii="Garamond" w:eastAsia="MS Mincho" w:hAnsi="Garamond" w:cs="Lucida Sans"/>
            </w:rPr>
            <w:t xml:space="preserve">Open Access: </w:t>
          </w:r>
          <w:r w:rsidR="00C81D07" w:rsidRPr="00C81D07">
            <w:rPr>
              <w:rFonts w:ascii="Garamond" w:eastAsia="MS Mincho" w:hAnsi="Garamond" w:cs="Lucida Sans"/>
            </w:rPr>
            <w:t>https://ejournal.unma.ac.id/index.php/educatio</w:t>
          </w:r>
        </w:p>
      </w:tc>
    </w:tr>
  </w:tbl>
  <w:p w14:paraId="2692B7B0" w14:textId="77777777" w:rsidR="00176F35" w:rsidRDefault="00176F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176F35" w:rsidRPr="004F02C1" w14:paraId="17FA34FD" w14:textId="77777777" w:rsidTr="0059477B">
      <w:tc>
        <w:tcPr>
          <w:tcW w:w="9571" w:type="dxa"/>
          <w:tcBorders>
            <w:top w:val="single" w:sz="6" w:space="0" w:color="244061" w:themeColor="accent1" w:themeShade="80"/>
          </w:tcBorders>
        </w:tcPr>
        <w:p w14:paraId="6B362A1B" w14:textId="77777777" w:rsidR="00176F35" w:rsidRPr="004F02C1" w:rsidRDefault="005F1B0A" w:rsidP="00176F35">
          <w:pPr>
            <w:pStyle w:val="Footer"/>
            <w:spacing w:before="120" w:after="120"/>
            <w:jc w:val="center"/>
            <w:rPr>
              <w:rFonts w:asciiTheme="majorHAnsi" w:hAnsiTheme="majorHAnsi"/>
              <w:sz w:val="18"/>
              <w:szCs w:val="18"/>
            </w:rPr>
          </w:pPr>
          <w:r w:rsidRPr="00C81D07">
            <w:rPr>
              <w:rFonts w:ascii="Garamond" w:eastAsia="MS Mincho" w:hAnsi="Garamond" w:cs="Lucida Sans"/>
            </w:rPr>
            <w:t>Open Access: https://ejournal.unma.ac.id/index.php/educatio</w:t>
          </w:r>
        </w:p>
      </w:tc>
    </w:tr>
  </w:tbl>
  <w:p w14:paraId="74CF8607" w14:textId="77777777" w:rsidR="00176F35" w:rsidRDefault="00176F3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70163" w14:textId="77777777" w:rsidR="009E52D6" w:rsidRPr="00A846F6" w:rsidRDefault="009E52D6">
    <w:pPr>
      <w:pStyle w:val="Footer"/>
      <w:rPr>
        <w:sz w:val="18"/>
      </w:rPr>
    </w:pPr>
  </w:p>
  <w:tbl>
    <w:tblPr>
      <w:tblStyle w:val="TableGrid"/>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7"/>
      <w:gridCol w:w="1559"/>
    </w:tblGrid>
    <w:tr w:rsidR="00147232" w:rsidRPr="00C81D07" w14:paraId="2D354803" w14:textId="77777777" w:rsidTr="00B534EF">
      <w:tc>
        <w:tcPr>
          <w:tcW w:w="7797" w:type="dxa"/>
          <w:tcBorders>
            <w:top w:val="single" w:sz="6" w:space="0" w:color="215868" w:themeColor="accent5" w:themeShade="80"/>
          </w:tcBorders>
          <w:vAlign w:val="center"/>
        </w:tcPr>
        <w:p w14:paraId="204D174C" w14:textId="77777777" w:rsidR="00147232" w:rsidRPr="0059477B" w:rsidRDefault="00147232" w:rsidP="00733B2E">
          <w:pPr>
            <w:spacing w:line="276" w:lineRule="auto"/>
            <w:jc w:val="right"/>
            <w:rPr>
              <w:rFonts w:ascii="Garamond" w:hAnsi="Garamond" w:cs="Lucida Sans"/>
              <w:noProof/>
            </w:rPr>
          </w:pPr>
          <w:r w:rsidRPr="0059477B">
            <w:rPr>
              <w:rFonts w:ascii="Garamond" w:hAnsi="Garamond" w:cs="Lucida Sans"/>
            </w:rPr>
            <w:t>This</w:t>
          </w:r>
          <w:r w:rsidRPr="0059477B">
            <w:rPr>
              <w:rFonts w:ascii="Garamond" w:hAnsi="Garamond" w:cs="Lucida Sans"/>
              <w:iCs/>
              <w:color w:val="000000"/>
            </w:rPr>
            <w:t xml:space="preserve"> is an open access article under the </w:t>
          </w:r>
          <w:hyperlink r:id="rId1" w:history="1">
            <w:r w:rsidRPr="0059477B">
              <w:rPr>
                <w:rStyle w:val="Hyperlink"/>
                <w:rFonts w:ascii="Garamond" w:hAnsi="Garamond" w:cs="Lucida Sans"/>
              </w:rPr>
              <w:t>CC BY-SA</w:t>
            </w:r>
          </w:hyperlink>
          <w:r w:rsidRPr="0059477B">
            <w:rPr>
              <w:rFonts w:ascii="Garamond" w:hAnsi="Garamond" w:cs="Lucida Sans"/>
              <w:iCs/>
              <w:color w:val="000000"/>
            </w:rPr>
            <w:t xml:space="preserve"> license.</w:t>
          </w:r>
          <w:r w:rsidRPr="0059477B">
            <w:rPr>
              <w:rFonts w:ascii="Garamond" w:hAnsi="Garamond" w:cs="Lucida Sans"/>
              <w:noProof/>
            </w:rPr>
            <w:t xml:space="preserve"> </w:t>
          </w:r>
        </w:p>
        <w:p w14:paraId="48837A67" w14:textId="77777777" w:rsidR="00147232" w:rsidRPr="00C81D07" w:rsidRDefault="00147232" w:rsidP="00493205">
          <w:pPr>
            <w:pStyle w:val="Footer"/>
            <w:jc w:val="right"/>
            <w:rPr>
              <w:rFonts w:ascii="Garamond" w:hAnsi="Garamond"/>
              <w:i/>
            </w:rPr>
          </w:pPr>
          <w:r w:rsidRPr="0059477B">
            <w:rPr>
              <w:rFonts w:ascii="Garamond" w:hAnsi="Garamond" w:cs="Lucida Sans"/>
            </w:rPr>
            <w:t>Copyright © 202</w:t>
          </w:r>
          <w:r w:rsidR="00493205">
            <w:rPr>
              <w:rFonts w:ascii="Garamond" w:hAnsi="Garamond" w:cs="Lucida Sans"/>
            </w:rPr>
            <w:t>3</w:t>
          </w:r>
          <w:r w:rsidRPr="0059477B">
            <w:rPr>
              <w:rFonts w:ascii="Garamond" w:hAnsi="Garamond" w:cs="Lucida Sans"/>
            </w:rPr>
            <w:t xml:space="preserve"> by Author</w:t>
          </w:r>
        </w:p>
      </w:tc>
      <w:tc>
        <w:tcPr>
          <w:tcW w:w="1559" w:type="dxa"/>
          <w:tcBorders>
            <w:top w:val="single" w:sz="6" w:space="0" w:color="215868" w:themeColor="accent5" w:themeShade="80"/>
          </w:tcBorders>
        </w:tcPr>
        <w:p w14:paraId="76FB994E" w14:textId="77777777" w:rsidR="00147232" w:rsidRPr="00C81D07" w:rsidRDefault="00147232" w:rsidP="00B534EF">
          <w:pPr>
            <w:pStyle w:val="Footer"/>
            <w:spacing w:before="60" w:after="60"/>
            <w:jc w:val="right"/>
            <w:rPr>
              <w:rFonts w:ascii="Garamond" w:hAnsi="Garamond"/>
              <w:i/>
            </w:rPr>
          </w:pPr>
          <w:r w:rsidRPr="00C81D07">
            <w:rPr>
              <w:rFonts w:ascii="Garamond" w:hAnsi="Garamond" w:cs="Lucida Sans"/>
              <w:noProof/>
            </w:rPr>
            <w:drawing>
              <wp:inline distT="0" distB="0" distL="0" distR="0" wp14:anchorId="49C4C21D" wp14:editId="1C57C122">
                <wp:extent cx="921235" cy="30949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9075" cy="315486"/>
                        </a:xfrm>
                        <a:prstGeom prst="rect">
                          <a:avLst/>
                        </a:prstGeom>
                        <a:noFill/>
                        <a:ln>
                          <a:noFill/>
                        </a:ln>
                      </pic:spPr>
                    </pic:pic>
                  </a:graphicData>
                </a:graphic>
              </wp:inline>
            </w:drawing>
          </w:r>
        </w:p>
      </w:tc>
    </w:tr>
  </w:tbl>
  <w:p w14:paraId="70186C89" w14:textId="77777777" w:rsidR="00147232" w:rsidRDefault="001472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26F69" w14:textId="77777777" w:rsidR="00E5752A" w:rsidRDefault="00E5752A" w:rsidP="009E52D6">
      <w:pPr>
        <w:spacing w:after="0" w:line="240" w:lineRule="auto"/>
      </w:pPr>
      <w:r>
        <w:separator/>
      </w:r>
    </w:p>
  </w:footnote>
  <w:footnote w:type="continuationSeparator" w:id="0">
    <w:p w14:paraId="4D80DF4A" w14:textId="77777777" w:rsidR="00E5752A" w:rsidRDefault="00E5752A" w:rsidP="009E52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600" w:type="dxa"/>
      <w:jc w:val="center"/>
      <w:tblBorders>
        <w:top w:val="none" w:sz="0" w:space="0" w:color="auto"/>
        <w:left w:val="none" w:sz="0" w:space="0" w:color="auto"/>
        <w:bottom w:val="single" w:sz="8"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838"/>
      <w:gridCol w:w="8195"/>
      <w:gridCol w:w="567"/>
    </w:tblGrid>
    <w:tr w:rsidR="00E03BD2" w:rsidRPr="00C81D07" w14:paraId="6FA338DC" w14:textId="77777777" w:rsidTr="00493205">
      <w:trPr>
        <w:jc w:val="center"/>
      </w:trPr>
      <w:tc>
        <w:tcPr>
          <w:tcW w:w="838" w:type="dxa"/>
          <w:tcBorders>
            <w:bottom w:val="single" w:sz="4" w:space="0" w:color="215868" w:themeColor="accent5" w:themeShade="80"/>
          </w:tcBorders>
        </w:tcPr>
        <w:sdt>
          <w:sdtPr>
            <w:rPr>
              <w:rFonts w:ascii="Garamond" w:hAnsi="Garamond"/>
              <w:szCs w:val="18"/>
            </w:rPr>
            <w:id w:val="-1715034956"/>
            <w:docPartObj>
              <w:docPartGallery w:val="Page Numbers (Top of Page)"/>
              <w:docPartUnique/>
            </w:docPartObj>
          </w:sdtPr>
          <w:sdtEndPr/>
          <w:sdtContent>
            <w:p w14:paraId="2FC4C8A4" w14:textId="77777777" w:rsidR="00E03BD2" w:rsidRPr="00C81D07" w:rsidRDefault="00AE3EFF" w:rsidP="004F02C1">
              <w:pPr>
                <w:pStyle w:val="Header"/>
                <w:rPr>
                  <w:rFonts w:ascii="Garamond" w:hAnsi="Garamond" w:cstheme="minorBidi"/>
                  <w:szCs w:val="18"/>
                </w:rPr>
              </w:pPr>
              <w:r w:rsidRPr="00C81D07">
                <w:rPr>
                  <w:rFonts w:ascii="Garamond" w:hAnsi="Garamond"/>
                  <w:szCs w:val="18"/>
                </w:rPr>
                <w:fldChar w:fldCharType="begin"/>
              </w:r>
              <w:r w:rsidR="004F02C1" w:rsidRPr="00C81D07">
                <w:rPr>
                  <w:rFonts w:ascii="Garamond" w:hAnsi="Garamond"/>
                  <w:szCs w:val="18"/>
                </w:rPr>
                <w:instrText xml:space="preserve"> PAGE   \* MERGEFORMAT </w:instrText>
              </w:r>
              <w:r w:rsidRPr="00C81D07">
                <w:rPr>
                  <w:rFonts w:ascii="Garamond" w:hAnsi="Garamond"/>
                  <w:szCs w:val="18"/>
                </w:rPr>
                <w:fldChar w:fldCharType="separate"/>
              </w:r>
              <w:r w:rsidR="00AD74F5">
                <w:rPr>
                  <w:rFonts w:ascii="Garamond" w:hAnsi="Garamond"/>
                  <w:noProof/>
                  <w:szCs w:val="18"/>
                </w:rPr>
                <w:t>1472</w:t>
              </w:r>
              <w:r w:rsidRPr="00C81D07">
                <w:rPr>
                  <w:rFonts w:ascii="Garamond" w:hAnsi="Garamond"/>
                  <w:szCs w:val="18"/>
                </w:rPr>
                <w:fldChar w:fldCharType="end"/>
              </w:r>
            </w:p>
          </w:sdtContent>
        </w:sdt>
      </w:tc>
      <w:tc>
        <w:tcPr>
          <w:tcW w:w="8195" w:type="dxa"/>
          <w:tcBorders>
            <w:bottom w:val="single" w:sz="6" w:space="0" w:color="244061" w:themeColor="accent1" w:themeShade="80"/>
          </w:tcBorders>
        </w:tcPr>
        <w:p w14:paraId="2B52065C" w14:textId="0BFAC718" w:rsidR="00E03BD2" w:rsidRPr="005F1B0A" w:rsidRDefault="00C81D07" w:rsidP="00AD74F5">
          <w:pPr>
            <w:pStyle w:val="Header"/>
            <w:spacing w:after="120"/>
            <w:jc w:val="right"/>
            <w:rPr>
              <w:rFonts w:ascii="Garamond" w:hAnsi="Garamond" w:cs="Lucida Sans"/>
              <w:color w:val="244061" w:themeColor="accent1" w:themeShade="80"/>
              <w:szCs w:val="18"/>
            </w:rPr>
          </w:pPr>
          <w:r w:rsidRPr="005F1B0A">
            <w:rPr>
              <w:rFonts w:ascii="Garamond" w:hAnsi="Garamond" w:cs="Lucida Sans"/>
              <w:b/>
              <w:color w:val="244061" w:themeColor="accent1" w:themeShade="80"/>
              <w:szCs w:val="18"/>
            </w:rPr>
            <w:t>Jurnal Educatio</w:t>
          </w:r>
          <w:r w:rsidR="00E03BD2" w:rsidRPr="005F1B0A">
            <w:rPr>
              <w:rFonts w:ascii="Garamond" w:hAnsi="Garamond" w:cs="Lucida Sans"/>
              <w:color w:val="244061" w:themeColor="accent1" w:themeShade="80"/>
              <w:szCs w:val="18"/>
            </w:rPr>
            <w:t xml:space="preserve">, </w:t>
          </w:r>
          <w:r w:rsidR="00AD74F5">
            <w:rPr>
              <w:rFonts w:ascii="Garamond" w:hAnsi="Garamond" w:cs="Lucida Sans"/>
              <w:color w:val="244061" w:themeColor="accent1" w:themeShade="80"/>
              <w:szCs w:val="18"/>
            </w:rPr>
            <w:t>9</w:t>
          </w:r>
          <w:r w:rsidR="001C4A74" w:rsidRPr="005F1B0A">
            <w:rPr>
              <w:rFonts w:ascii="Garamond" w:hAnsi="Garamond" w:cs="Lucida Sans"/>
              <w:color w:val="244061" w:themeColor="accent1" w:themeShade="80"/>
              <w:szCs w:val="18"/>
            </w:rPr>
            <w:t>(</w:t>
          </w:r>
          <w:r w:rsidR="00AD74F5">
            <w:rPr>
              <w:rFonts w:ascii="Garamond" w:hAnsi="Garamond" w:cs="Lucida Sans"/>
              <w:color w:val="244061" w:themeColor="accent1" w:themeShade="80"/>
              <w:szCs w:val="18"/>
            </w:rPr>
            <w:t>3</w:t>
          </w:r>
          <w:r w:rsidR="001C4A74" w:rsidRPr="005F1B0A">
            <w:rPr>
              <w:rFonts w:ascii="Garamond" w:hAnsi="Garamond" w:cs="Lucida Sans"/>
              <w:color w:val="244061" w:themeColor="accent1" w:themeShade="80"/>
              <w:szCs w:val="18"/>
            </w:rPr>
            <w:t>),</w:t>
          </w:r>
          <w:r w:rsidR="00995832" w:rsidRPr="005F1B0A">
            <w:rPr>
              <w:rFonts w:ascii="Garamond" w:hAnsi="Garamond" w:cs="Lucida Sans"/>
              <w:color w:val="244061" w:themeColor="accent1" w:themeShade="80"/>
              <w:szCs w:val="18"/>
            </w:rPr>
            <w:t xml:space="preserve"> 20</w:t>
          </w:r>
          <w:r w:rsidR="00AD74F5">
            <w:rPr>
              <w:rFonts w:ascii="Garamond" w:hAnsi="Garamond" w:cs="Lucida Sans"/>
              <w:color w:val="244061" w:themeColor="accent1" w:themeShade="80"/>
              <w:szCs w:val="18"/>
            </w:rPr>
            <w:t>23</w:t>
          </w:r>
          <w:r w:rsidR="00995832" w:rsidRPr="005F1B0A">
            <w:rPr>
              <w:rFonts w:ascii="Garamond" w:hAnsi="Garamond" w:cs="Lucida Sans"/>
              <w:color w:val="244061" w:themeColor="accent1" w:themeShade="80"/>
              <w:szCs w:val="18"/>
            </w:rPr>
            <w:t xml:space="preserve">, </w:t>
          </w:r>
          <w:r w:rsidR="00AD74F5">
            <w:rPr>
              <w:rFonts w:ascii="Garamond" w:hAnsi="Garamond" w:cs="Lucida Sans"/>
              <w:color w:val="244061" w:themeColor="accent1" w:themeShade="80"/>
              <w:szCs w:val="18"/>
            </w:rPr>
            <w:t>1464-1474</w:t>
          </w:r>
        </w:p>
      </w:tc>
      <w:tc>
        <w:tcPr>
          <w:tcW w:w="567" w:type="dxa"/>
          <w:tcBorders>
            <w:bottom w:val="single" w:sz="6" w:space="0" w:color="244061" w:themeColor="accent1" w:themeShade="80"/>
          </w:tcBorders>
        </w:tcPr>
        <w:p w14:paraId="04CAB58B" w14:textId="77777777" w:rsidR="00E03BD2" w:rsidRPr="005F1B0A" w:rsidRDefault="00E03BD2" w:rsidP="00B00AA6">
          <w:pPr>
            <w:pStyle w:val="Header"/>
            <w:jc w:val="right"/>
            <w:rPr>
              <w:rFonts w:ascii="Garamond" w:hAnsi="Garamond"/>
              <w:color w:val="244061" w:themeColor="accent1" w:themeShade="80"/>
              <w:szCs w:val="18"/>
            </w:rPr>
          </w:pPr>
        </w:p>
      </w:tc>
    </w:tr>
  </w:tbl>
  <w:p w14:paraId="63C945EF" w14:textId="77777777" w:rsidR="00E03BD2" w:rsidRPr="00A846F6" w:rsidRDefault="00E03BD2">
    <w:pPr>
      <w:pStyle w:val="Header"/>
      <w:rPr>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143" w:type="dxa"/>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649"/>
      <w:gridCol w:w="927"/>
    </w:tblGrid>
    <w:tr w:rsidR="00E03BD2" w:rsidRPr="00ED0DD1" w14:paraId="3B9FEEB9" w14:textId="77777777" w:rsidTr="00493205">
      <w:trPr>
        <w:jc w:val="center"/>
      </w:trPr>
      <w:tc>
        <w:tcPr>
          <w:tcW w:w="567" w:type="dxa"/>
        </w:tcPr>
        <w:p w14:paraId="2186B4BE" w14:textId="77777777" w:rsidR="00E03BD2" w:rsidRPr="00D049BC" w:rsidRDefault="00E03BD2" w:rsidP="00ED0DD1">
          <w:pPr>
            <w:pStyle w:val="Header"/>
            <w:jc w:val="center"/>
            <w:rPr>
              <w:rFonts w:asciiTheme="majorHAnsi" w:hAnsiTheme="majorHAnsi" w:cstheme="minorBidi"/>
              <w:sz w:val="18"/>
              <w:szCs w:val="18"/>
            </w:rPr>
          </w:pPr>
        </w:p>
      </w:tc>
      <w:tc>
        <w:tcPr>
          <w:tcW w:w="7649" w:type="dxa"/>
          <w:tcBorders>
            <w:bottom w:val="single" w:sz="6" w:space="0" w:color="244061" w:themeColor="accent1" w:themeShade="80"/>
          </w:tcBorders>
        </w:tcPr>
        <w:p w14:paraId="47D09A8A" w14:textId="23842BF3" w:rsidR="00E03BD2" w:rsidRPr="005F1B0A" w:rsidRDefault="00AD74F5" w:rsidP="00A846F6">
          <w:pPr>
            <w:pStyle w:val="Header"/>
            <w:spacing w:after="120"/>
            <w:rPr>
              <w:rFonts w:ascii="Garamond" w:hAnsi="Garamond"/>
              <w:color w:val="244061" w:themeColor="accent1" w:themeShade="80"/>
              <w:szCs w:val="18"/>
            </w:rPr>
          </w:pPr>
          <w:r w:rsidRPr="005F1B0A">
            <w:rPr>
              <w:rFonts w:ascii="Garamond" w:hAnsi="Garamond" w:cs="Lucida Sans"/>
              <w:b/>
              <w:color w:val="244061" w:themeColor="accent1" w:themeShade="80"/>
              <w:szCs w:val="18"/>
            </w:rPr>
            <w:t>Jurnal Educatio</w:t>
          </w:r>
          <w:r w:rsidRPr="005F1B0A">
            <w:rPr>
              <w:rFonts w:ascii="Garamond" w:hAnsi="Garamond" w:cs="Lucida Sans"/>
              <w:color w:val="244061" w:themeColor="accent1" w:themeShade="80"/>
              <w:szCs w:val="18"/>
            </w:rPr>
            <w:t xml:space="preserve">, </w:t>
          </w:r>
          <w:r>
            <w:rPr>
              <w:rFonts w:ascii="Garamond" w:hAnsi="Garamond" w:cs="Lucida Sans"/>
              <w:color w:val="244061" w:themeColor="accent1" w:themeShade="80"/>
              <w:szCs w:val="18"/>
            </w:rPr>
            <w:t>9</w:t>
          </w:r>
          <w:r w:rsidRPr="005F1B0A">
            <w:rPr>
              <w:rFonts w:ascii="Garamond" w:hAnsi="Garamond" w:cs="Lucida Sans"/>
              <w:color w:val="244061" w:themeColor="accent1" w:themeShade="80"/>
              <w:szCs w:val="18"/>
            </w:rPr>
            <w:t>(</w:t>
          </w:r>
          <w:r>
            <w:rPr>
              <w:rFonts w:ascii="Garamond" w:hAnsi="Garamond" w:cs="Lucida Sans"/>
              <w:color w:val="244061" w:themeColor="accent1" w:themeShade="80"/>
              <w:szCs w:val="18"/>
            </w:rPr>
            <w:t>3</w:t>
          </w:r>
          <w:r w:rsidRPr="005F1B0A">
            <w:rPr>
              <w:rFonts w:ascii="Garamond" w:hAnsi="Garamond" w:cs="Lucida Sans"/>
              <w:color w:val="244061" w:themeColor="accent1" w:themeShade="80"/>
              <w:szCs w:val="18"/>
            </w:rPr>
            <w:t>), 20</w:t>
          </w:r>
          <w:r>
            <w:rPr>
              <w:rFonts w:ascii="Garamond" w:hAnsi="Garamond" w:cs="Lucida Sans"/>
              <w:color w:val="244061" w:themeColor="accent1" w:themeShade="80"/>
              <w:szCs w:val="18"/>
            </w:rPr>
            <w:t>23</w:t>
          </w:r>
          <w:r w:rsidRPr="005F1B0A">
            <w:rPr>
              <w:rFonts w:ascii="Garamond" w:hAnsi="Garamond" w:cs="Lucida Sans"/>
              <w:color w:val="244061" w:themeColor="accent1" w:themeShade="80"/>
              <w:szCs w:val="18"/>
            </w:rPr>
            <w:t xml:space="preserve">, </w:t>
          </w:r>
          <w:r>
            <w:rPr>
              <w:rFonts w:ascii="Garamond" w:hAnsi="Garamond" w:cs="Lucida Sans"/>
              <w:color w:val="244061" w:themeColor="accent1" w:themeShade="80"/>
              <w:szCs w:val="18"/>
            </w:rPr>
            <w:t>1464-1474</w:t>
          </w:r>
        </w:p>
      </w:tc>
      <w:tc>
        <w:tcPr>
          <w:tcW w:w="927" w:type="dxa"/>
          <w:tcBorders>
            <w:bottom w:val="single" w:sz="6" w:space="0" w:color="244061" w:themeColor="accent1" w:themeShade="80"/>
          </w:tcBorders>
        </w:tcPr>
        <w:sdt>
          <w:sdtPr>
            <w:rPr>
              <w:rFonts w:asciiTheme="majorHAnsi" w:hAnsiTheme="majorHAnsi"/>
              <w:sz w:val="18"/>
              <w:szCs w:val="18"/>
            </w:rPr>
            <w:id w:val="-356588091"/>
            <w:docPartObj>
              <w:docPartGallery w:val="Page Numbers (Top of Page)"/>
              <w:docPartUnique/>
            </w:docPartObj>
          </w:sdtPr>
          <w:sdtEndPr/>
          <w:sdtContent>
            <w:p w14:paraId="28C57ED8" w14:textId="77777777" w:rsidR="00E03BD2" w:rsidRPr="004F02C1" w:rsidRDefault="00AE3EFF" w:rsidP="004F02C1">
              <w:pPr>
                <w:pStyle w:val="Header"/>
                <w:jc w:val="right"/>
                <w:rPr>
                  <w:rFonts w:asciiTheme="majorHAnsi" w:hAnsiTheme="majorHAnsi" w:cstheme="minorBidi"/>
                  <w:sz w:val="18"/>
                  <w:szCs w:val="18"/>
                </w:rPr>
              </w:pPr>
              <w:r w:rsidRPr="00D049BC">
                <w:rPr>
                  <w:rFonts w:asciiTheme="majorHAnsi" w:hAnsiTheme="majorHAnsi"/>
                  <w:sz w:val="18"/>
                  <w:szCs w:val="18"/>
                </w:rPr>
                <w:fldChar w:fldCharType="begin"/>
              </w:r>
              <w:r w:rsidR="004F02C1" w:rsidRPr="00D049BC">
                <w:rPr>
                  <w:rFonts w:asciiTheme="majorHAnsi" w:hAnsiTheme="majorHAnsi"/>
                  <w:sz w:val="18"/>
                  <w:szCs w:val="18"/>
                </w:rPr>
                <w:instrText xml:space="preserve"> PAGE   \* MERGEFORMAT </w:instrText>
              </w:r>
              <w:r w:rsidRPr="00D049BC">
                <w:rPr>
                  <w:rFonts w:asciiTheme="majorHAnsi" w:hAnsiTheme="majorHAnsi"/>
                  <w:sz w:val="18"/>
                  <w:szCs w:val="18"/>
                </w:rPr>
                <w:fldChar w:fldCharType="separate"/>
              </w:r>
              <w:r w:rsidR="00AD74F5">
                <w:rPr>
                  <w:rFonts w:asciiTheme="majorHAnsi" w:hAnsiTheme="majorHAnsi"/>
                  <w:noProof/>
                  <w:sz w:val="18"/>
                  <w:szCs w:val="18"/>
                </w:rPr>
                <w:t>1471</w:t>
              </w:r>
              <w:r w:rsidRPr="00D049BC">
                <w:rPr>
                  <w:rFonts w:asciiTheme="majorHAnsi" w:hAnsiTheme="majorHAnsi"/>
                  <w:sz w:val="18"/>
                  <w:szCs w:val="18"/>
                </w:rPr>
                <w:fldChar w:fldCharType="end"/>
              </w:r>
            </w:p>
          </w:sdtContent>
        </w:sdt>
      </w:tc>
    </w:tr>
  </w:tbl>
  <w:p w14:paraId="01960946" w14:textId="77777777" w:rsidR="00E03BD2" w:rsidRDefault="00E03B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356" w:type="dxa"/>
      <w:tblInd w:w="108"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977"/>
    </w:tblGrid>
    <w:tr w:rsidR="005F1B0A" w:rsidRPr="005F1B0A" w14:paraId="75397845" w14:textId="77777777" w:rsidTr="001C4A74">
      <w:tc>
        <w:tcPr>
          <w:tcW w:w="6379" w:type="dxa"/>
          <w:tcBorders>
            <w:bottom w:val="single" w:sz="6" w:space="0" w:color="215868" w:themeColor="accent5" w:themeShade="80"/>
          </w:tcBorders>
        </w:tcPr>
        <w:p w14:paraId="6C31DFD3" w14:textId="77777777" w:rsidR="00FD6889" w:rsidRPr="005F1B0A" w:rsidRDefault="00C81D07" w:rsidP="00995832">
          <w:pPr>
            <w:spacing w:line="276" w:lineRule="auto"/>
            <w:rPr>
              <w:rFonts w:ascii="Garamond" w:hAnsi="Garamond" w:cs="Lucida Sans"/>
              <w:b/>
              <w:color w:val="244061" w:themeColor="accent1" w:themeShade="80"/>
              <w:sz w:val="24"/>
              <w:szCs w:val="18"/>
            </w:rPr>
          </w:pPr>
          <w:r w:rsidRPr="005F1B0A">
            <w:rPr>
              <w:rFonts w:ascii="Garamond" w:hAnsi="Garamond" w:cs="Lucida Sans"/>
              <w:b/>
              <w:color w:val="244061" w:themeColor="accent1" w:themeShade="80"/>
              <w:sz w:val="24"/>
              <w:szCs w:val="18"/>
            </w:rPr>
            <w:t>Jurnal Educatio</w:t>
          </w:r>
        </w:p>
        <w:p w14:paraId="5064871B" w14:textId="77777777" w:rsidR="00FD6889" w:rsidRPr="005F1B0A" w:rsidRDefault="00C81D07" w:rsidP="00995832">
          <w:pPr>
            <w:spacing w:line="276" w:lineRule="auto"/>
            <w:rPr>
              <w:rStyle w:val="Hyperlink"/>
              <w:rFonts w:ascii="Garamond" w:hAnsi="Garamond" w:cs="Lucida Sans"/>
              <w:color w:val="auto"/>
              <w:sz w:val="22"/>
              <w:szCs w:val="18"/>
              <w:u w:val="none"/>
              <w:bdr w:val="none" w:sz="0" w:space="0" w:color="auto" w:frame="1"/>
              <w:shd w:val="clear" w:color="auto" w:fill="FFFFFF"/>
            </w:rPr>
          </w:pPr>
          <w:r w:rsidRPr="005F1B0A">
            <w:rPr>
              <w:rFonts w:ascii="Garamond" w:hAnsi="Garamond" w:cs="Lucida Sans"/>
              <w:sz w:val="22"/>
              <w:szCs w:val="18"/>
            </w:rPr>
            <w:t>ISSN 2459-9522 (Print), 2548-6756 (Online)</w:t>
          </w:r>
          <w:r w:rsidR="00FD6889" w:rsidRPr="005F1B0A">
            <w:rPr>
              <w:rFonts w:ascii="Garamond" w:hAnsi="Garamond" w:cs="Lucida Sans"/>
              <w:sz w:val="22"/>
              <w:szCs w:val="18"/>
            </w:rPr>
            <w:t xml:space="preserve"> </w:t>
          </w:r>
          <w:r w:rsidR="00FD6889" w:rsidRPr="005F1B0A">
            <w:rPr>
              <w:rFonts w:ascii="Garamond" w:hAnsi="Garamond" w:cs="Lucida Sans"/>
              <w:sz w:val="22"/>
              <w:szCs w:val="18"/>
              <w:shd w:val="clear" w:color="auto" w:fill="FFFFFF"/>
            </w:rPr>
            <w:t> </w:t>
          </w:r>
          <w:r w:rsidR="00995832" w:rsidRPr="005F1B0A">
            <w:rPr>
              <w:rStyle w:val="Hyperlink"/>
              <w:rFonts w:ascii="Garamond" w:hAnsi="Garamond" w:cs="Lucida Sans"/>
              <w:color w:val="auto"/>
              <w:sz w:val="22"/>
              <w:szCs w:val="18"/>
              <w:u w:val="none"/>
              <w:bdr w:val="none" w:sz="0" w:space="0" w:color="auto" w:frame="1"/>
              <w:shd w:val="clear" w:color="auto" w:fill="FFFFFF"/>
            </w:rPr>
            <w:t xml:space="preserve"> </w:t>
          </w:r>
        </w:p>
        <w:p w14:paraId="3B9FEE8D" w14:textId="174CFF74" w:rsidR="00995832" w:rsidRPr="005F1B0A" w:rsidRDefault="00995832" w:rsidP="00AD74F5">
          <w:pPr>
            <w:spacing w:line="276" w:lineRule="auto"/>
            <w:rPr>
              <w:rFonts w:ascii="Garamond" w:hAnsi="Garamond" w:cs="Lucida Sans"/>
              <w:color w:val="244061" w:themeColor="accent1" w:themeShade="80"/>
              <w:sz w:val="22"/>
              <w:szCs w:val="18"/>
            </w:rPr>
          </w:pPr>
          <w:r w:rsidRPr="005F1B0A">
            <w:rPr>
              <w:rFonts w:ascii="Garamond" w:hAnsi="Garamond" w:cs="Lucida Sans"/>
              <w:sz w:val="22"/>
              <w:szCs w:val="18"/>
            </w:rPr>
            <w:t>Vol</w:t>
          </w:r>
          <w:r w:rsidR="0059477B">
            <w:rPr>
              <w:rFonts w:ascii="Garamond" w:hAnsi="Garamond" w:cs="Lucida Sans"/>
              <w:sz w:val="22"/>
              <w:szCs w:val="18"/>
            </w:rPr>
            <w:t>.</w:t>
          </w:r>
          <w:r w:rsidRPr="005F1B0A">
            <w:rPr>
              <w:rFonts w:ascii="Garamond" w:hAnsi="Garamond" w:cs="Lucida Sans"/>
              <w:sz w:val="22"/>
              <w:szCs w:val="18"/>
            </w:rPr>
            <w:t xml:space="preserve"> </w:t>
          </w:r>
          <w:r w:rsidR="00AD74F5">
            <w:rPr>
              <w:rFonts w:ascii="Garamond" w:hAnsi="Garamond" w:cs="Lucida Sans"/>
              <w:sz w:val="22"/>
              <w:szCs w:val="18"/>
            </w:rPr>
            <w:t>9</w:t>
          </w:r>
          <w:r w:rsidRPr="005F1B0A">
            <w:rPr>
              <w:rFonts w:ascii="Garamond" w:hAnsi="Garamond" w:cs="Lucida Sans"/>
              <w:sz w:val="22"/>
              <w:szCs w:val="18"/>
            </w:rPr>
            <w:t xml:space="preserve">, </w:t>
          </w:r>
          <w:r w:rsidR="0059477B">
            <w:rPr>
              <w:rFonts w:ascii="Garamond" w:hAnsi="Garamond" w:cs="Lucida Sans"/>
              <w:sz w:val="22"/>
              <w:szCs w:val="18"/>
            </w:rPr>
            <w:t>No.</w:t>
          </w:r>
          <w:r w:rsidRPr="005F1B0A">
            <w:rPr>
              <w:rFonts w:ascii="Garamond" w:hAnsi="Garamond" w:cs="Lucida Sans"/>
              <w:sz w:val="22"/>
              <w:szCs w:val="18"/>
            </w:rPr>
            <w:t xml:space="preserve"> </w:t>
          </w:r>
          <w:r w:rsidR="00AD74F5">
            <w:rPr>
              <w:rFonts w:ascii="Garamond" w:hAnsi="Garamond" w:cs="Lucida Sans"/>
              <w:sz w:val="22"/>
              <w:szCs w:val="18"/>
            </w:rPr>
            <w:t>3</w:t>
          </w:r>
          <w:r w:rsidRPr="005F1B0A">
            <w:rPr>
              <w:rFonts w:ascii="Garamond" w:hAnsi="Garamond" w:cs="Lucida Sans"/>
              <w:sz w:val="22"/>
              <w:szCs w:val="18"/>
            </w:rPr>
            <w:t xml:space="preserve">,  </w:t>
          </w:r>
          <w:r w:rsidR="00AD74F5">
            <w:rPr>
              <w:rFonts w:ascii="Garamond" w:hAnsi="Garamond" w:cs="Lucida Sans"/>
              <w:sz w:val="22"/>
              <w:szCs w:val="18"/>
            </w:rPr>
            <w:t>2023</w:t>
          </w:r>
          <w:r w:rsidRPr="005F1B0A">
            <w:rPr>
              <w:rFonts w:ascii="Garamond" w:hAnsi="Garamond" w:cs="Lucida Sans"/>
              <w:sz w:val="22"/>
              <w:szCs w:val="18"/>
            </w:rPr>
            <w:t xml:space="preserve">, pp. </w:t>
          </w:r>
          <w:r w:rsidR="00AD74F5">
            <w:rPr>
              <w:rFonts w:ascii="Garamond" w:hAnsi="Garamond" w:cs="Lucida Sans"/>
              <w:sz w:val="22"/>
              <w:szCs w:val="18"/>
            </w:rPr>
            <w:t>1464-1474</w:t>
          </w:r>
        </w:p>
      </w:tc>
      <w:tc>
        <w:tcPr>
          <w:tcW w:w="2977" w:type="dxa"/>
          <w:tcBorders>
            <w:bottom w:val="single" w:sz="6" w:space="0" w:color="215868" w:themeColor="accent5" w:themeShade="80"/>
          </w:tcBorders>
        </w:tcPr>
        <w:p w14:paraId="018F659A" w14:textId="77777777" w:rsidR="00FD6889" w:rsidRPr="005F1B0A" w:rsidRDefault="00D178D7" w:rsidP="000C202C">
          <w:pPr>
            <w:spacing w:after="120"/>
            <w:jc w:val="right"/>
            <w:rPr>
              <w:rFonts w:ascii="Garamond" w:hAnsi="Garamond" w:cstheme="minorHAnsi"/>
              <w:b/>
              <w:color w:val="244061" w:themeColor="accent1" w:themeShade="80"/>
              <w:szCs w:val="24"/>
            </w:rPr>
          </w:pPr>
          <w:r>
            <w:rPr>
              <w:rFonts w:ascii="Garamond" w:hAnsi="Garamond" w:cs="Lucida Sans"/>
              <w:iCs/>
              <w:noProof/>
            </w:rPr>
            <w:drawing>
              <wp:inline distT="0" distB="0" distL="0" distR="0" wp14:anchorId="38CE1D5B" wp14:editId="56490153">
                <wp:extent cx="619125" cy="59549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ducatio blue dark.png"/>
                        <pic:cNvPicPr/>
                      </pic:nvPicPr>
                      <pic:blipFill>
                        <a:blip r:embed="rId1">
                          <a:extLst>
                            <a:ext uri="{28A0092B-C50C-407E-A947-70E740481C1C}">
                              <a14:useLocalDpi xmlns:a14="http://schemas.microsoft.com/office/drawing/2010/main" val="0"/>
                            </a:ext>
                          </a:extLst>
                        </a:blip>
                        <a:stretch>
                          <a:fillRect/>
                        </a:stretch>
                      </pic:blipFill>
                      <pic:spPr>
                        <a:xfrm>
                          <a:off x="0" y="0"/>
                          <a:ext cx="618987" cy="595366"/>
                        </a:xfrm>
                        <a:prstGeom prst="rect">
                          <a:avLst/>
                        </a:prstGeom>
                      </pic:spPr>
                    </pic:pic>
                  </a:graphicData>
                </a:graphic>
              </wp:inline>
            </w:drawing>
          </w:r>
        </w:p>
      </w:tc>
    </w:tr>
  </w:tbl>
  <w:p w14:paraId="38C7D92B" w14:textId="77777777" w:rsidR="00FD6889" w:rsidRPr="00A846F6" w:rsidRDefault="00FD6889" w:rsidP="00FD6889">
    <w:pPr>
      <w:pStyle w:val="Header"/>
      <w:rPr>
        <w:sz w:val="1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80981"/>
    <w:multiLevelType w:val="hybridMultilevel"/>
    <w:tmpl w:val="DEC27B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0F9366C"/>
    <w:multiLevelType w:val="hybridMultilevel"/>
    <w:tmpl w:val="CDEA0B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E057DB"/>
    <w:multiLevelType w:val="hybridMultilevel"/>
    <w:tmpl w:val="657260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B880E03"/>
    <w:multiLevelType w:val="hybridMultilevel"/>
    <w:tmpl w:val="7A322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8917209"/>
    <w:multiLevelType w:val="hybridMultilevel"/>
    <w:tmpl w:val="935A8C48"/>
    <w:lvl w:ilvl="0" w:tplc="3C4EE96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A26583"/>
    <w:multiLevelType w:val="hybridMultilevel"/>
    <w:tmpl w:val="F6D28A8E"/>
    <w:lvl w:ilvl="0" w:tplc="D99CC8BA">
      <w:start w:val="1"/>
      <w:numFmt w:val="decimal"/>
      <w:lvlText w:val="%1)"/>
      <w:lvlJc w:val="left"/>
      <w:pPr>
        <w:ind w:left="644" w:hanging="360"/>
      </w:pPr>
      <w:rPr>
        <w:rFonts w:hint="default"/>
        <w:i w:val="0"/>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610B2EB6"/>
    <w:multiLevelType w:val="hybridMultilevel"/>
    <w:tmpl w:val="786E7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1F11E5D"/>
    <w:multiLevelType w:val="hybridMultilevel"/>
    <w:tmpl w:val="31B439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42E0CF0"/>
    <w:multiLevelType w:val="hybridMultilevel"/>
    <w:tmpl w:val="2542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AF7280"/>
    <w:multiLevelType w:val="hybridMultilevel"/>
    <w:tmpl w:val="F000EE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6"/>
  </w:num>
  <w:num w:numId="5">
    <w:abstractNumId w:val="4"/>
  </w:num>
  <w:num w:numId="6">
    <w:abstractNumId w:val="1"/>
  </w:num>
  <w:num w:numId="7">
    <w:abstractNumId w:val="5"/>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W1NDcxsTA1MjU3NbJQ0lEKTi0uzszPAykwqgUA/NaW3SwAAAA="/>
  </w:docVars>
  <w:rsids>
    <w:rsidRoot w:val="00F96E1D"/>
    <w:rsid w:val="00022CF6"/>
    <w:rsid w:val="000C202C"/>
    <w:rsid w:val="000F1F41"/>
    <w:rsid w:val="00100A8F"/>
    <w:rsid w:val="001076B7"/>
    <w:rsid w:val="00116AB2"/>
    <w:rsid w:val="00132778"/>
    <w:rsid w:val="00147232"/>
    <w:rsid w:val="0015143B"/>
    <w:rsid w:val="00176F35"/>
    <w:rsid w:val="00177BFF"/>
    <w:rsid w:val="00183FE4"/>
    <w:rsid w:val="001C4A74"/>
    <w:rsid w:val="001E38E5"/>
    <w:rsid w:val="001E48EB"/>
    <w:rsid w:val="00212CCC"/>
    <w:rsid w:val="00232E37"/>
    <w:rsid w:val="00294960"/>
    <w:rsid w:val="002D752F"/>
    <w:rsid w:val="003263D1"/>
    <w:rsid w:val="00336BA2"/>
    <w:rsid w:val="00340533"/>
    <w:rsid w:val="00380F03"/>
    <w:rsid w:val="003858A8"/>
    <w:rsid w:val="0039157C"/>
    <w:rsid w:val="003B0C9D"/>
    <w:rsid w:val="003B474E"/>
    <w:rsid w:val="003D1591"/>
    <w:rsid w:val="003F2C6A"/>
    <w:rsid w:val="003F5F0A"/>
    <w:rsid w:val="00415DFE"/>
    <w:rsid w:val="0042328B"/>
    <w:rsid w:val="00423921"/>
    <w:rsid w:val="004250BF"/>
    <w:rsid w:val="004402BF"/>
    <w:rsid w:val="00446999"/>
    <w:rsid w:val="00461C20"/>
    <w:rsid w:val="004655EA"/>
    <w:rsid w:val="00484A93"/>
    <w:rsid w:val="00493205"/>
    <w:rsid w:val="004D05B5"/>
    <w:rsid w:val="004F02C1"/>
    <w:rsid w:val="00504F36"/>
    <w:rsid w:val="005614DD"/>
    <w:rsid w:val="00561519"/>
    <w:rsid w:val="0059477B"/>
    <w:rsid w:val="005F1B0A"/>
    <w:rsid w:val="0069456D"/>
    <w:rsid w:val="006A4BBB"/>
    <w:rsid w:val="006D0CDB"/>
    <w:rsid w:val="006D61BD"/>
    <w:rsid w:val="00704B9B"/>
    <w:rsid w:val="007775C2"/>
    <w:rsid w:val="00791CD7"/>
    <w:rsid w:val="007E583B"/>
    <w:rsid w:val="00813157"/>
    <w:rsid w:val="00824B10"/>
    <w:rsid w:val="00826F30"/>
    <w:rsid w:val="008640E2"/>
    <w:rsid w:val="008719D8"/>
    <w:rsid w:val="008805F1"/>
    <w:rsid w:val="00884156"/>
    <w:rsid w:val="008A3F57"/>
    <w:rsid w:val="008E3DA1"/>
    <w:rsid w:val="008F5842"/>
    <w:rsid w:val="00920ED6"/>
    <w:rsid w:val="00953D29"/>
    <w:rsid w:val="00986D0B"/>
    <w:rsid w:val="00995832"/>
    <w:rsid w:val="009A3726"/>
    <w:rsid w:val="009E52D6"/>
    <w:rsid w:val="00A13178"/>
    <w:rsid w:val="00A15E8E"/>
    <w:rsid w:val="00A21C04"/>
    <w:rsid w:val="00A331CE"/>
    <w:rsid w:val="00A62DA4"/>
    <w:rsid w:val="00A846F6"/>
    <w:rsid w:val="00AD74F5"/>
    <w:rsid w:val="00AE3EFF"/>
    <w:rsid w:val="00B5082D"/>
    <w:rsid w:val="00B534EF"/>
    <w:rsid w:val="00B54ACF"/>
    <w:rsid w:val="00B706AE"/>
    <w:rsid w:val="00B9117F"/>
    <w:rsid w:val="00C13C2E"/>
    <w:rsid w:val="00C81D07"/>
    <w:rsid w:val="00C86C67"/>
    <w:rsid w:val="00CB380C"/>
    <w:rsid w:val="00D049BC"/>
    <w:rsid w:val="00D06493"/>
    <w:rsid w:val="00D12A0B"/>
    <w:rsid w:val="00D14BE6"/>
    <w:rsid w:val="00D178D7"/>
    <w:rsid w:val="00D74AC2"/>
    <w:rsid w:val="00D80E2A"/>
    <w:rsid w:val="00DC1E6B"/>
    <w:rsid w:val="00E03BD2"/>
    <w:rsid w:val="00E5752A"/>
    <w:rsid w:val="00E75E95"/>
    <w:rsid w:val="00E81F39"/>
    <w:rsid w:val="00ED0DD1"/>
    <w:rsid w:val="00EF2985"/>
    <w:rsid w:val="00F00BF5"/>
    <w:rsid w:val="00F51142"/>
    <w:rsid w:val="00F96E1D"/>
    <w:rsid w:val="00FB7431"/>
    <w:rsid w:val="00FC5704"/>
    <w:rsid w:val="00FD3806"/>
    <w:rsid w:val="00FD6889"/>
    <w:rsid w:val="00FE3209"/>
    <w:rsid w:val="00FE4380"/>
    <w:rsid w:val="00FE7A1F"/>
    <w:rsid w:val="00FF07C8"/>
    <w:rsid w:val="00FF6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BE5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95832"/>
    <w:pPr>
      <w:keepNext/>
      <w:spacing w:after="0" w:line="480" w:lineRule="auto"/>
      <w:jc w:val="center"/>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E1D"/>
    <w:rPr>
      <w:rFonts w:cs="Times New Roman"/>
      <w:color w:val="0000FF" w:themeColor="hyperlink"/>
      <w:u w:val="single"/>
    </w:rPr>
  </w:style>
  <w:style w:type="paragraph" w:styleId="NoSpacing">
    <w:name w:val="No Spacing"/>
    <w:uiPriority w:val="1"/>
    <w:qFormat/>
    <w:rsid w:val="00F96E1D"/>
    <w:pPr>
      <w:spacing w:after="0" w:line="240" w:lineRule="auto"/>
    </w:pPr>
    <w:rPr>
      <w:rFonts w:cs="Times New Roman"/>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F96E1D"/>
    <w:pPr>
      <w:ind w:left="720"/>
      <w:contextualSpacing/>
    </w:pPr>
    <w:rPr>
      <w:rFonts w:ascii="Calibri" w:hAnsi="Calibri" w:cs="Arial"/>
    </w:rPr>
  </w:style>
  <w:style w:type="table" w:styleId="TableGrid">
    <w:name w:val="Table Grid"/>
    <w:basedOn w:val="TableNormal"/>
    <w:qFormat/>
    <w:rsid w:val="00F96E1D"/>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96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E1D"/>
    <w:rPr>
      <w:rFonts w:eastAsiaTheme="minorEastAsia"/>
    </w:rPr>
  </w:style>
  <w:style w:type="character" w:customStyle="1" w:styleId="shorttext">
    <w:name w:val="short_text"/>
    <w:basedOn w:val="DefaultParagraphFont"/>
    <w:rsid w:val="00F96E1D"/>
    <w:rPr>
      <w:rFonts w:cs="Times New Roman"/>
    </w:rPr>
  </w:style>
  <w:style w:type="character" w:styleId="Emphasis">
    <w:name w:val="Emphasis"/>
    <w:basedOn w:val="DefaultParagraphFont"/>
    <w:uiPriority w:val="20"/>
    <w:qFormat/>
    <w:rsid w:val="00F96E1D"/>
    <w:rPr>
      <w:rFonts w:cs="Times New Roman"/>
      <w:i/>
      <w:iCs/>
    </w:rPr>
  </w:style>
  <w:style w:type="paragraph" w:customStyle="1" w:styleId="UJME-Abstract">
    <w:name w:val="UJME-Abstract"/>
    <w:basedOn w:val="Normal"/>
    <w:qFormat/>
    <w:rsid w:val="00F96E1D"/>
    <w:pPr>
      <w:spacing w:before="120" w:after="120" w:line="240" w:lineRule="auto"/>
      <w:jc w:val="both"/>
    </w:pPr>
    <w:rPr>
      <w:rFonts w:asciiTheme="majorBidi" w:eastAsiaTheme="minorHAnsi" w:hAnsiTheme="majorBidi" w:cstheme="majorBidi"/>
      <w:sz w:val="18"/>
      <w:szCs w:val="18"/>
    </w:rPr>
  </w:style>
  <w:style w:type="paragraph" w:styleId="BalloonText">
    <w:name w:val="Balloon Text"/>
    <w:basedOn w:val="Normal"/>
    <w:link w:val="BalloonTextChar"/>
    <w:uiPriority w:val="99"/>
    <w:semiHidden/>
    <w:unhideWhenUsed/>
    <w:rsid w:val="0023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E37"/>
    <w:rPr>
      <w:rFonts w:ascii="Tahoma" w:eastAsiaTheme="minorEastAsia" w:hAnsi="Tahoma" w:cs="Tahoma"/>
      <w:sz w:val="16"/>
      <w:szCs w:val="16"/>
    </w:rPr>
  </w:style>
  <w:style w:type="paragraph" w:styleId="Footer">
    <w:name w:val="footer"/>
    <w:basedOn w:val="Normal"/>
    <w:link w:val="FooterChar"/>
    <w:uiPriority w:val="99"/>
    <w:unhideWhenUsed/>
    <w:rsid w:val="009E5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2D6"/>
    <w:rPr>
      <w:rFonts w:eastAsiaTheme="minorEastAsia"/>
    </w:rPr>
  </w:style>
  <w:style w:type="character" w:customStyle="1" w:styleId="st">
    <w:name w:val="st"/>
    <w:basedOn w:val="DefaultParagraphFont"/>
    <w:rsid w:val="005614DD"/>
  </w:style>
  <w:style w:type="paragraph" w:customStyle="1" w:styleId="BodytextIndented">
    <w:name w:val="BodytextIndented"/>
    <w:basedOn w:val="Normal"/>
    <w:rsid w:val="00446999"/>
    <w:pPr>
      <w:spacing w:after="0" w:line="240" w:lineRule="auto"/>
      <w:ind w:firstLine="284"/>
      <w:jc w:val="both"/>
    </w:pPr>
    <w:rPr>
      <w:rFonts w:ascii="Times" w:eastAsia="Times New Roman" w:hAnsi="Times" w:cs="Times New Roman"/>
      <w:iCs/>
      <w:color w:val="000000"/>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locked/>
    <w:rsid w:val="00446999"/>
    <w:rPr>
      <w:rFonts w:ascii="Calibri" w:eastAsiaTheme="minorEastAsia" w:hAnsi="Calibri" w:cs="Arial"/>
    </w:rPr>
  </w:style>
  <w:style w:type="paragraph" w:customStyle="1" w:styleId="PMEReferences">
    <w:name w:val="PME References"/>
    <w:basedOn w:val="Normal"/>
    <w:uiPriority w:val="99"/>
    <w:rsid w:val="00B5082D"/>
    <w:pPr>
      <w:autoSpaceDE w:val="0"/>
      <w:autoSpaceDN w:val="0"/>
      <w:spacing w:after="120" w:line="260" w:lineRule="atLeast"/>
      <w:ind w:left="289" w:hanging="289"/>
      <w:jc w:val="both"/>
    </w:pPr>
    <w:rPr>
      <w:rFonts w:ascii="Times New Roman" w:eastAsia="PMingLiU" w:hAnsi="Times New Roman" w:cs="Times New Roman"/>
      <w:sz w:val="26"/>
      <w:szCs w:val="26"/>
      <w:lang w:val="en-AU" w:eastAsia="es-ES"/>
    </w:rPr>
  </w:style>
  <w:style w:type="character" w:customStyle="1" w:styleId="Heading1Char">
    <w:name w:val="Heading 1 Char"/>
    <w:basedOn w:val="DefaultParagraphFont"/>
    <w:link w:val="Heading1"/>
    <w:rsid w:val="00995832"/>
    <w:rPr>
      <w:rFonts w:ascii="Times New Roman" w:eastAsia="Times New Roman" w:hAnsi="Times New Roman" w:cs="Times New Roman"/>
      <w:b/>
      <w:bCs/>
      <w:sz w:val="20"/>
      <w:szCs w:val="20"/>
    </w:rPr>
  </w:style>
  <w:style w:type="paragraph" w:customStyle="1" w:styleId="Text">
    <w:name w:val="Text"/>
    <w:basedOn w:val="Normal"/>
    <w:rsid w:val="00995832"/>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customStyle="1" w:styleId="reference">
    <w:name w:val="reference"/>
    <w:basedOn w:val="Normal"/>
    <w:rsid w:val="00995832"/>
    <w:pPr>
      <w:keepLines/>
      <w:spacing w:after="0" w:line="220" w:lineRule="atLeast"/>
      <w:ind w:left="560" w:hanging="560"/>
      <w:jc w:val="both"/>
    </w:pPr>
    <w:rPr>
      <w:rFonts w:ascii="Times New Roman" w:eastAsia="Times New Roman" w:hAnsi="Times New Roman" w:cs="Times New Roman"/>
      <w:sz w:val="24"/>
      <w:szCs w:val="20"/>
      <w:lang w:val="en-AU" w:eastAsia="tr-TR"/>
    </w:rPr>
  </w:style>
  <w:style w:type="table" w:customStyle="1" w:styleId="Style1">
    <w:name w:val="Style1"/>
    <w:basedOn w:val="TableNormal"/>
    <w:uiPriority w:val="99"/>
    <w:rsid w:val="00995832"/>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b/>
      </w:rPr>
      <w:tblPr/>
      <w:tcPr>
        <w:tcBorders>
          <w:top w:val="single" w:sz="4" w:space="0" w:color="auto"/>
          <w:bottom w:val="single" w:sz="12" w:space="0" w:color="auto"/>
        </w:tcBorders>
        <w:shd w:val="clear" w:color="auto" w:fill="FFFFFF" w:themeFill="background1"/>
      </w:tcPr>
    </w:tblStylePr>
    <w:tblStylePr w:type="firstCol">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4" w:space="0" w:color="auto"/>
          <w:left w:val="single" w:sz="4" w:space="0" w:color="auto"/>
          <w:bottom w:val="single" w:sz="4" w:space="0" w:color="auto"/>
          <w:right w:val="single" w:sz="4" w:space="0" w:color="auto"/>
        </w:tcBorders>
      </w:tcPr>
    </w:tblStylePr>
  </w:style>
  <w:style w:type="character" w:customStyle="1" w:styleId="UnresolvedMention">
    <w:name w:val="Unresolved Mention"/>
    <w:basedOn w:val="DefaultParagraphFont"/>
    <w:uiPriority w:val="99"/>
    <w:semiHidden/>
    <w:unhideWhenUsed/>
    <w:rsid w:val="00340533"/>
    <w:rPr>
      <w:color w:val="605E5C"/>
      <w:shd w:val="clear" w:color="auto" w:fill="E1DFDD"/>
    </w:rPr>
  </w:style>
  <w:style w:type="table" w:customStyle="1" w:styleId="TableGrid1">
    <w:name w:val="Table Grid1"/>
    <w:basedOn w:val="TableNormal"/>
    <w:next w:val="TableGrid"/>
    <w:uiPriority w:val="59"/>
    <w:rsid w:val="008805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805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995832"/>
    <w:pPr>
      <w:keepNext/>
      <w:spacing w:after="0" w:line="480" w:lineRule="auto"/>
      <w:jc w:val="center"/>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6E1D"/>
    <w:rPr>
      <w:rFonts w:cs="Times New Roman"/>
      <w:color w:val="0000FF" w:themeColor="hyperlink"/>
      <w:u w:val="single"/>
    </w:rPr>
  </w:style>
  <w:style w:type="paragraph" w:styleId="NoSpacing">
    <w:name w:val="No Spacing"/>
    <w:uiPriority w:val="1"/>
    <w:qFormat/>
    <w:rsid w:val="00F96E1D"/>
    <w:pPr>
      <w:spacing w:after="0" w:line="240" w:lineRule="auto"/>
    </w:pPr>
    <w:rPr>
      <w:rFonts w:cs="Times New Roman"/>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F96E1D"/>
    <w:pPr>
      <w:ind w:left="720"/>
      <w:contextualSpacing/>
    </w:pPr>
    <w:rPr>
      <w:rFonts w:ascii="Calibri" w:hAnsi="Calibri" w:cs="Arial"/>
    </w:rPr>
  </w:style>
  <w:style w:type="table" w:styleId="TableGrid">
    <w:name w:val="Table Grid"/>
    <w:basedOn w:val="TableNormal"/>
    <w:qFormat/>
    <w:rsid w:val="00F96E1D"/>
    <w:pPr>
      <w:spacing w:after="0" w:line="240" w:lineRule="auto"/>
    </w:pPr>
    <w:rPr>
      <w:rFonts w:ascii="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96E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6E1D"/>
    <w:rPr>
      <w:rFonts w:eastAsiaTheme="minorEastAsia"/>
    </w:rPr>
  </w:style>
  <w:style w:type="character" w:customStyle="1" w:styleId="shorttext">
    <w:name w:val="short_text"/>
    <w:basedOn w:val="DefaultParagraphFont"/>
    <w:rsid w:val="00F96E1D"/>
    <w:rPr>
      <w:rFonts w:cs="Times New Roman"/>
    </w:rPr>
  </w:style>
  <w:style w:type="character" w:styleId="Emphasis">
    <w:name w:val="Emphasis"/>
    <w:basedOn w:val="DefaultParagraphFont"/>
    <w:uiPriority w:val="20"/>
    <w:qFormat/>
    <w:rsid w:val="00F96E1D"/>
    <w:rPr>
      <w:rFonts w:cs="Times New Roman"/>
      <w:i/>
      <w:iCs/>
    </w:rPr>
  </w:style>
  <w:style w:type="paragraph" w:customStyle="1" w:styleId="UJME-Abstract">
    <w:name w:val="UJME-Abstract"/>
    <w:basedOn w:val="Normal"/>
    <w:qFormat/>
    <w:rsid w:val="00F96E1D"/>
    <w:pPr>
      <w:spacing w:before="120" w:after="120" w:line="240" w:lineRule="auto"/>
      <w:jc w:val="both"/>
    </w:pPr>
    <w:rPr>
      <w:rFonts w:asciiTheme="majorBidi" w:eastAsiaTheme="minorHAnsi" w:hAnsiTheme="majorBidi" w:cstheme="majorBidi"/>
      <w:sz w:val="18"/>
      <w:szCs w:val="18"/>
    </w:rPr>
  </w:style>
  <w:style w:type="paragraph" w:styleId="BalloonText">
    <w:name w:val="Balloon Text"/>
    <w:basedOn w:val="Normal"/>
    <w:link w:val="BalloonTextChar"/>
    <w:uiPriority w:val="99"/>
    <w:semiHidden/>
    <w:unhideWhenUsed/>
    <w:rsid w:val="00232E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E37"/>
    <w:rPr>
      <w:rFonts w:ascii="Tahoma" w:eastAsiaTheme="minorEastAsia" w:hAnsi="Tahoma" w:cs="Tahoma"/>
      <w:sz w:val="16"/>
      <w:szCs w:val="16"/>
    </w:rPr>
  </w:style>
  <w:style w:type="paragraph" w:styleId="Footer">
    <w:name w:val="footer"/>
    <w:basedOn w:val="Normal"/>
    <w:link w:val="FooterChar"/>
    <w:uiPriority w:val="99"/>
    <w:unhideWhenUsed/>
    <w:rsid w:val="009E5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2D6"/>
    <w:rPr>
      <w:rFonts w:eastAsiaTheme="minorEastAsia"/>
    </w:rPr>
  </w:style>
  <w:style w:type="character" w:customStyle="1" w:styleId="st">
    <w:name w:val="st"/>
    <w:basedOn w:val="DefaultParagraphFont"/>
    <w:rsid w:val="005614DD"/>
  </w:style>
  <w:style w:type="paragraph" w:customStyle="1" w:styleId="BodytextIndented">
    <w:name w:val="BodytextIndented"/>
    <w:basedOn w:val="Normal"/>
    <w:rsid w:val="00446999"/>
    <w:pPr>
      <w:spacing w:after="0" w:line="240" w:lineRule="auto"/>
      <w:ind w:firstLine="284"/>
      <w:jc w:val="both"/>
    </w:pPr>
    <w:rPr>
      <w:rFonts w:ascii="Times" w:eastAsia="Times New Roman" w:hAnsi="Times" w:cs="Times New Roman"/>
      <w:iCs/>
      <w:color w:val="000000"/>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locked/>
    <w:rsid w:val="00446999"/>
    <w:rPr>
      <w:rFonts w:ascii="Calibri" w:eastAsiaTheme="minorEastAsia" w:hAnsi="Calibri" w:cs="Arial"/>
    </w:rPr>
  </w:style>
  <w:style w:type="paragraph" w:customStyle="1" w:styleId="PMEReferences">
    <w:name w:val="PME References"/>
    <w:basedOn w:val="Normal"/>
    <w:uiPriority w:val="99"/>
    <w:rsid w:val="00B5082D"/>
    <w:pPr>
      <w:autoSpaceDE w:val="0"/>
      <w:autoSpaceDN w:val="0"/>
      <w:spacing w:after="120" w:line="260" w:lineRule="atLeast"/>
      <w:ind w:left="289" w:hanging="289"/>
      <w:jc w:val="both"/>
    </w:pPr>
    <w:rPr>
      <w:rFonts w:ascii="Times New Roman" w:eastAsia="PMingLiU" w:hAnsi="Times New Roman" w:cs="Times New Roman"/>
      <w:sz w:val="26"/>
      <w:szCs w:val="26"/>
      <w:lang w:val="en-AU" w:eastAsia="es-ES"/>
    </w:rPr>
  </w:style>
  <w:style w:type="character" w:customStyle="1" w:styleId="Heading1Char">
    <w:name w:val="Heading 1 Char"/>
    <w:basedOn w:val="DefaultParagraphFont"/>
    <w:link w:val="Heading1"/>
    <w:rsid w:val="00995832"/>
    <w:rPr>
      <w:rFonts w:ascii="Times New Roman" w:eastAsia="Times New Roman" w:hAnsi="Times New Roman" w:cs="Times New Roman"/>
      <w:b/>
      <w:bCs/>
      <w:sz w:val="20"/>
      <w:szCs w:val="20"/>
    </w:rPr>
  </w:style>
  <w:style w:type="paragraph" w:customStyle="1" w:styleId="Text">
    <w:name w:val="Text"/>
    <w:basedOn w:val="Normal"/>
    <w:rsid w:val="00995832"/>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customStyle="1" w:styleId="reference">
    <w:name w:val="reference"/>
    <w:basedOn w:val="Normal"/>
    <w:rsid w:val="00995832"/>
    <w:pPr>
      <w:keepLines/>
      <w:spacing w:after="0" w:line="220" w:lineRule="atLeast"/>
      <w:ind w:left="560" w:hanging="560"/>
      <w:jc w:val="both"/>
    </w:pPr>
    <w:rPr>
      <w:rFonts w:ascii="Times New Roman" w:eastAsia="Times New Roman" w:hAnsi="Times New Roman" w:cs="Times New Roman"/>
      <w:sz w:val="24"/>
      <w:szCs w:val="20"/>
      <w:lang w:val="en-AU" w:eastAsia="tr-TR"/>
    </w:rPr>
  </w:style>
  <w:style w:type="table" w:customStyle="1" w:styleId="Style1">
    <w:name w:val="Style1"/>
    <w:basedOn w:val="TableNormal"/>
    <w:uiPriority w:val="99"/>
    <w:rsid w:val="00995832"/>
    <w:pPr>
      <w:spacing w:after="0" w:line="240" w:lineRule="auto"/>
    </w:pPr>
    <w:rPr>
      <w:rFonts w:ascii="Times New Roman" w:eastAsia="Times New Roman" w:hAnsi="Times New Roman" w:cs="Times New Roman"/>
      <w:sz w:val="20"/>
      <w:szCs w:val="20"/>
    </w:rPr>
    <w:tblPr>
      <w:tblStyleRowBandSize w:val="1"/>
      <w:tblInd w:w="0" w:type="dxa"/>
      <w:tblCellMar>
        <w:top w:w="0" w:type="dxa"/>
        <w:left w:w="108" w:type="dxa"/>
        <w:bottom w:w="0" w:type="dxa"/>
        <w:right w:w="108" w:type="dxa"/>
      </w:tblCellMar>
    </w:tblPr>
    <w:tblStylePr w:type="firstRow">
      <w:rPr>
        <w:b/>
      </w:rPr>
      <w:tblPr/>
      <w:tcPr>
        <w:tcBorders>
          <w:top w:val="single" w:sz="4" w:space="0" w:color="auto"/>
          <w:bottom w:val="single" w:sz="12" w:space="0" w:color="auto"/>
        </w:tcBorders>
        <w:shd w:val="clear" w:color="auto" w:fill="FFFFFF" w:themeFill="background1"/>
      </w:tcPr>
    </w:tblStylePr>
    <w:tblStylePr w:type="firstCol">
      <w:tblPr/>
      <w:tcPr>
        <w:shd w:val="clear" w:color="auto" w:fill="D9D9D9" w:themeFill="background1" w:themeFillShade="D9"/>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single" w:sz="4" w:space="0" w:color="auto"/>
          <w:left w:val="single" w:sz="4" w:space="0" w:color="auto"/>
          <w:bottom w:val="single" w:sz="4" w:space="0" w:color="auto"/>
          <w:right w:val="single" w:sz="4" w:space="0" w:color="auto"/>
        </w:tcBorders>
      </w:tcPr>
    </w:tblStylePr>
  </w:style>
  <w:style w:type="character" w:customStyle="1" w:styleId="UnresolvedMention">
    <w:name w:val="Unresolved Mention"/>
    <w:basedOn w:val="DefaultParagraphFont"/>
    <w:uiPriority w:val="99"/>
    <w:semiHidden/>
    <w:unhideWhenUsed/>
    <w:rsid w:val="00340533"/>
    <w:rPr>
      <w:color w:val="605E5C"/>
      <w:shd w:val="clear" w:color="auto" w:fill="E1DFDD"/>
    </w:rPr>
  </w:style>
  <w:style w:type="table" w:customStyle="1" w:styleId="TableGrid1">
    <w:name w:val="Table Grid1"/>
    <w:basedOn w:val="TableNormal"/>
    <w:next w:val="TableGrid"/>
    <w:uiPriority w:val="59"/>
    <w:rsid w:val="008805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805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sa/4.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158A6-8BCC-47DD-A230-FE5414E7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41591</Words>
  <Characters>237073</Characters>
  <Application>Microsoft Office Word</Application>
  <DocSecurity>0</DocSecurity>
  <Lines>1975</Lines>
  <Paragraphs>556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NB</cp:lastModifiedBy>
  <cp:revision>3</cp:revision>
  <cp:lastPrinted>2022-01-01T09:09:00Z</cp:lastPrinted>
  <dcterms:created xsi:type="dcterms:W3CDTF">2023-09-22T22:23:00Z</dcterms:created>
  <dcterms:modified xsi:type="dcterms:W3CDTF">2023-09-22T22:27:00Z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3b099d5c-d2da-3b90-9eb5-2d4ffcb0c79c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